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48"/>
          <w:szCs w:val="48"/>
          <w:shd w:val="clear" w:color="auto" w:fill="FFFFFF"/>
          <w:lang w:val="en-US" w:eastAsia="zh-CN"/>
        </w:rPr>
        <w:t>服务内容和质量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z w:val="48"/>
          <w:szCs w:val="48"/>
          <w:shd w:val="clear" w:color="auto" w:fill="FFFFFF"/>
          <w:lang w:val="en-US" w:eastAsia="zh-CN"/>
        </w:rPr>
        <w:t>要求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1、维护、维修服务质量指标及质量保证的要求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（1）隧道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排涝设施要求每年全面检修一次，维护期内要求所有排涝设备运转正常；定期对隧道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集水池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每年至少一次全面清理）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、外出水口及配套排水管道（管渠）、雨水沟进行清淤，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每天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对格栅垃圾进行清理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（视实际堵塞情况可隔天清理）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，维护期内要求所有排水管渠通畅，泵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、隧道不因管渠淤塞出现积水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（2）对服务范围内出现的积水及内涝，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配合甲方养护部门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做好交通疏导及应急抢险工作，确保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群众出行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生命财产安全；同时，采取有效措施，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保障泵房排水畅顺，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尽快恢复道路交通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（3）服务期间保证维修项目完成后达到《城镇排水管渠与泵站运行、维护及安全技术规程》（CJJ68-2016）、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泵站技术管理规程》（GB/T 30948-2014）的要求，确保服务范围内的排水管渠通畅及车辆及行人通行安全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（4）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应建立并实施符合各项要求的管理体系，如因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自身管理原因使得本项目工作受到影响或造成责任事故的，一概由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承担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）其他参照国家、省、市有关规范标准执行。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2、日常维护的要求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（1）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在维护期间按要求做好相关设施设备的日常检查和定期检修工作，主要包括：对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市电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供电线路和控制箱的检查和维护，对闸阀、格栅的检查和维护，对水泵的检查和维护，对起重设备、监控报警系统等的定期检测工作，确保排涝设施设备的完好和正常运行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（2）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应设立每日巡查制度，将巡查记录、隧道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设施设备运行、故障排除和维修保养记录等资料登记存档；发现问题要及时记录和检修，并将相关情况报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甲方机安室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备案；隧道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内相关排涝设施因各种原因损坏或被盗的，必须立刻采取有效的应急措施，确保满足排涝要求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同时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快速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修复，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保障设施安全运行；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（3）所有用电设施均不得发生漏电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情况。乙方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不得擅自改变隧道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排涝系统的所有设施（包括原供电线路和接驳线路等）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）服务期间隧道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的运行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按照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《城镇排水管渠与泵站运行、维护及安全技术规程》(CJJ68-2016)及《泵站技术管理规程》（GB/T 30948-2014）的要求执行。确保服务范围内的泵站、隧道设施完好和正常运行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）经常打扫卫生，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保持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泵房及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设施的清洁美观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）泵房内排水泵应视运行情况不定期作排水顺序调整，保证每台排水泵均衡运作。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3、维修工作要求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（1）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乙方在日常检查中发现设施有异常情况应及时报告甲方机安室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并迅速排查异常原因，据此制定维修方案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由机安室核实情况后再落实维修；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（2）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维修项目产生的维修费及配件费不纳入维护费用中。设备需要维修时，由乙方制定维修方案并报备甲方机安室，维修配件统一由机安室采购，乙方可以自主维修的可按市场价收取工时费，不能维修的由机安室寻找第三方实施维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4、应急抢险工作的要求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遇大雨等强对流天气，须安排人员做好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24小时值班值守工作。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对突发泵站、隧道停、断电时间，或暴雨量超过泵站、隧道设计能力而引起泵站、隧道服务区域严重积水，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须配合甲方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做好应急抢险工作，确保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群众出行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生命及财产安全；同时采取有效措施，抢险线路及设备，尽快恢复泵站、隧道正常运行。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5、人员配置要求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（1）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须为本项目每座泵站至少配置1名技术人员和1名持证电工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，遇突发情况须适当增加维护人员；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（2）维护人员应具备相关的专业知识及技术水平，熟悉本服务项目设施和设备规格、技术指标及安装调试工艺，有能力完成泵站、隧道运行维护管理和维修工作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（3）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维护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项目负责人原则上不得更换，如需要更换须向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甲方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书面提出申请并经同意后方可更换。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6、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安全文明施工要求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（1）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必须建立安全生产管理制度，明确安全生产职责，严格落实安全生产措施，制定安全生产作业流程，定期对参与本工程项目的所有人员进行安全培训，对安全生产管理工作所有资料进行登记造册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（2）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应按维护维修内容，为实际上岗员工自行到有关部门申办有关用工手续、购买员工劳动保险、人身意外保险等手续，并为服务范围内自有人员生命财产和施工机械设备办理保险，支付保险费用。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必须对其雇员的意外工伤、死亡承担责任，负责有关追讨、诉讼及赔偿等一切相关费用，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甲方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无需对这些意外工伤、死亡承担任何责任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（3）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必须落实安全生产措施，且应按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甲方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及有关部门的要求，配备相关安全警示标志及设施，维护和维修作业人员上岗前必须进行安全教育和技术培训，自行解决安全作业问题。在进行作业时，现场一定要做好安全维护后才能进场施工，同时必须认真负责，并注意安全操作，如发生任何意外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负责事故处理及一切费用，概与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甲方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无关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（4）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用于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维护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所需的物资必须符合国家提出的有关质量标准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（5）本项目用电未经有关部门的同意，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不得擅自改变原供电线路和接驳线路挪作他用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（6）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乙方应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定期进行安全隐患排查工作，杜绝任何用电设施发生漏电现象，确保泵站、隧道安全、正常运行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（7）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乙方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在检查维护水泵、闸阀门、管道、集水池等泵站、隧道设备设施时，必须采取防硫化氢等有毒气体的安全措施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（8）做好文明运行措施，泵站的运行、维护应符合现行标准《恶臭污染物排放标准》（GB14554-93）和《声环境质量标准》（GB3096-2008）的规定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（9）其他参照国家、省、市有关规范标准执行。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ZjJkNzE3MDI4MzAwNGU1MWM2N2MwOTdmMzNkMTUifQ=="/>
  </w:docVars>
  <w:rsids>
    <w:rsidRoot w:val="24154374"/>
    <w:rsid w:val="24154374"/>
    <w:rsid w:val="7E3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line="300" w:lineRule="auto"/>
    </w:pPr>
    <w:rPr>
      <w:rFonts w:ascii="Times" w:hAnsi="Times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2024</Words>
  <Characters>2088</Characters>
  <Lines>0</Lines>
  <Paragraphs>0</Paragraphs>
  <TotalTime>12</TotalTime>
  <ScaleCrop>false</ScaleCrop>
  <LinksUpToDate>false</LinksUpToDate>
  <CharactersWithSpaces>2090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2023-01-05T06:57:00Z</dcterms:created>
  <dc:creator>俊籽</dc:creator>
  <cp:lastModifiedBy>俊籽</cp:lastModifiedBy>
  <cp:lastPrinted>2023-01-06T02:39:18Z</cp:lastPrinted>
  <dcterms:modified xsi:type="dcterms:W3CDTF">2023-01-06T02:52:13Z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91249E64EF1A4110B1813F6F66A0C164</vt:lpwstr>
  </property>
</Properties>
</file>