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1"/>
        <w:rPr>
          <w:rFonts w:ascii="宋体" w:hAnsi="宋体"/>
          <w:b/>
          <w:color w:val="auto"/>
          <w:sz w:val="52"/>
          <w:szCs w:val="52"/>
        </w:rPr>
      </w:pPr>
      <w:bookmarkStart w:id="0" w:name="_Toc265565100"/>
    </w:p>
    <w:p>
      <w:pPr>
        <w:rPr>
          <w:rFonts w:ascii="宋体" w:hAnsi="宋体"/>
          <w:b/>
          <w:color w:val="auto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auto"/>
          <w:sz w:val="84"/>
          <w:szCs w:val="84"/>
        </w:rPr>
      </w:pPr>
      <w:r>
        <w:rPr>
          <w:rFonts w:ascii="宋体" w:hAnsi="宋体"/>
          <w:b/>
          <w:color w:val="auto"/>
          <w:sz w:val="84"/>
          <w:szCs w:val="84"/>
        </w:rPr>
        <w:t>合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ascii="宋体" w:hAnsi="宋体"/>
          <w:b/>
          <w:color w:val="auto"/>
          <w:sz w:val="84"/>
          <w:szCs w:val="84"/>
        </w:rPr>
        <w:t>同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ascii="宋体" w:hAnsi="宋体"/>
          <w:b/>
          <w:color w:val="auto"/>
          <w:sz w:val="84"/>
          <w:szCs w:val="84"/>
        </w:rPr>
        <w:t>书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/>
          <w:b/>
          <w:bCs/>
          <w:color w:val="auto"/>
          <w:sz w:val="52"/>
          <w:szCs w:val="52"/>
        </w:rPr>
      </w:pPr>
      <w:r>
        <w:rPr>
          <w:rFonts w:hint="eastAsia" w:ascii="宋体" w:hAnsi="宋体"/>
          <w:b/>
          <w:bCs/>
          <w:color w:val="auto"/>
          <w:sz w:val="52"/>
          <w:szCs w:val="5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color w:val="auto"/>
          <w:sz w:val="72"/>
        </w:rPr>
      </w:pPr>
    </w:p>
    <w:tbl>
      <w:tblPr>
        <w:tblStyle w:val="6"/>
        <w:tblW w:w="6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67" w:type="dxa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b/>
                <w:bCs/>
                <w:color w:val="auto"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color w:val="auto"/>
                <w:sz w:val="28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67" w:type="dxa"/>
          </w:tcPr>
          <w:p>
            <w:pPr>
              <w:tabs>
                <w:tab w:val="left" w:pos="720"/>
              </w:tabs>
              <w:spacing w:line="360" w:lineRule="auto"/>
              <w:ind w:left="1428" w:hanging="1428" w:hangingChars="508"/>
              <w:rPr>
                <w:rFonts w:ascii="宋体" w:hAnsi="宋体"/>
                <w:b/>
                <w:bCs/>
                <w:color w:val="auto"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color w:val="auto"/>
                <w:sz w:val="28"/>
              </w:rPr>
              <w:t>项目名称：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sz w:val="21"/>
                <w:szCs w:val="21"/>
                <w:u w:val="single"/>
              </w:rPr>
              <w:t>三洲兴明路食品摊贩集中经营管理区承包经营权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color w:val="auto"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67" w:type="dxa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b/>
                <w:bCs/>
                <w:color w:val="auto"/>
                <w:sz w:val="28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bCs/>
          <w:color w:val="auto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ascii="宋体" w:hAnsi="宋体"/>
          <w:color w:val="auto"/>
          <w:sz w:val="28"/>
        </w:rPr>
        <w:br w:type="page"/>
      </w:r>
      <w:bookmarkEnd w:id="0"/>
      <w:r>
        <w:rPr>
          <w:rFonts w:hint="eastAsia" w:ascii="仿宋_GB2312" w:hAnsi="仿宋_GB2312" w:eastAsia="仿宋_GB2312" w:cs="仿宋_GB2312"/>
          <w:b/>
          <w:color w:val="auto"/>
          <w:sz w:val="24"/>
        </w:rPr>
        <w:t>甲    方：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佛山市高明区荷城兴源资产经营管理有限公司(以下简称甲方)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乙    方：</w:t>
      </w:r>
      <w:r>
        <w:rPr>
          <w:rFonts w:hint="eastAsia" w:ascii="仿宋_GB2312" w:hAnsi="仿宋_GB2312" w:eastAsia="仿宋_GB2312" w:cs="仿宋_GB2312"/>
          <w:b/>
          <w:color w:val="auto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  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根据《中华人民共和国合同法》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4"/>
        </w:rPr>
        <w:t>有关法律法规的要求，为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24"/>
        </w:rPr>
        <w:t>高明区兴明路食品摊贩集中经营管理区的合理有序管理运营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8"/>
          <w:sz w:val="24"/>
        </w:rPr>
        <w:t>经双方</w:t>
      </w:r>
      <w:r>
        <w:rPr>
          <w:rFonts w:hint="eastAsia" w:ascii="仿宋_GB2312" w:hAnsi="仿宋_GB2312" w:eastAsia="仿宋_GB2312" w:cs="仿宋_GB2312"/>
          <w:color w:val="auto"/>
          <w:kern w:val="28"/>
          <w:sz w:val="24"/>
          <w:lang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kern w:val="28"/>
          <w:sz w:val="24"/>
        </w:rPr>
        <w:t>协商，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本着平等互利和诚实信用的原则，</w:t>
      </w:r>
      <w:r>
        <w:rPr>
          <w:rFonts w:hint="eastAsia" w:ascii="仿宋_GB2312" w:hAnsi="仿宋_GB2312" w:eastAsia="仿宋_GB2312" w:cs="仿宋_GB2312"/>
          <w:color w:val="auto"/>
          <w:kern w:val="28"/>
          <w:sz w:val="24"/>
        </w:rPr>
        <w:t>一致同意签订本合同如下：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一、项目名称与基本情况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项目名称：佛山市高明区荷城街道兴明路食品摊贩集中经营管理区(以下简称本项目)位于沧江工业园区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兴明路高明区宁汇肉联食品有限公司一侧</w:t>
      </w:r>
      <w:r>
        <w:rPr>
          <w:rFonts w:hint="eastAsia" w:ascii="仿宋_GB2312" w:hAnsi="仿宋_GB2312" w:eastAsia="仿宋_GB2312" w:cs="仿宋_GB2312"/>
          <w:color w:val="auto"/>
          <w:sz w:val="24"/>
        </w:rPr>
        <w:t>，东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至高明区宁汇肉联食品有限公司东侧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米，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西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至兴明路与三明路交汇处（注：三明路和兴明路交叉正对面区域禁止设置摊位）</w:t>
      </w:r>
      <w:r>
        <w:rPr>
          <w:rFonts w:hint="eastAsia" w:ascii="仿宋_GB2312" w:hAnsi="仿宋_GB2312" w:eastAsia="仿宋_GB2312" w:cs="仿宋_GB2312"/>
          <w:color w:val="auto"/>
          <w:sz w:val="24"/>
        </w:rPr>
        <w:t>，预计规划档位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24"/>
        </w:rPr>
        <w:t>个。经营时间为早上5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:00--10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:00中午11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:00--20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:00晚上21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:00--02</w:t>
      </w:r>
      <w:r>
        <w:rPr>
          <w:rFonts w:hint="eastAsia"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:00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79" w:leftChars="228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合同期限：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即合同签定之日起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三、履约金及费用缴纳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合同签定之日起十日内，乙方一次性向甲方交纳履约保证金人民币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元(大写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)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合同期满后，经甲方验收合格之后乙方没有违约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为的，甲方应在合同期满之后一个月内，将履约金不计利息退回给乙方(乙方凭履约金收据原件到甲方办理退回手续)。如乙方出现违约行为的，则乙方不得要求退回履约金，甲方予以没收处理；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hd w:val="clear" w:color="auto" w:fill="auto"/>
        </w:rPr>
        <w:t>2、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承包费用：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元/年，即：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日至202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日，该年度缴款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承包款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  <w:t>支付方式：按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  <w:t>度支付，乙方应在签订合同当日一次性足额支付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val="en-US" w:eastAsia="zh-CN"/>
        </w:rPr>
        <w:t>本年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  <w:t>度的租金，以后下一年度的租金的租金应在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FF0000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shd w:val="clear" w:color="auto" w:fill="auto"/>
          <w:lang w:eastAsia="zh-CN"/>
        </w:rPr>
        <w:t>日前一次性足额支付。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3、乙方向甲方上交方式为存入甲方以下账号：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收款单位：佛山市高明区荷城兴源资产经营管理有限公司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开户银行：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佛山农商行高明西安支行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银行账号：80020000000407415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四、双方的权利和义务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1、乙方负责甲方指定本项目全面管理工作包括档位招租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日常保洁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维护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4"/>
        </w:rPr>
        <w:t>集市秩序管理等；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2、合同期间甲方确保乙方对本项管理工作的合法性及有效性，甲方负责协助乙方开展工作；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乙方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应通过公开招投标</w:t>
      </w:r>
      <w:r>
        <w:rPr>
          <w:rFonts w:hint="eastAsia" w:ascii="仿宋_GB2312" w:hAnsi="仿宋_GB2312" w:eastAsia="仿宋_GB2312" w:cs="仿宋_GB2312"/>
          <w:color w:val="auto"/>
          <w:sz w:val="24"/>
        </w:rPr>
        <w:t>确定摊位承租户，相关招投标方案以及各中标人员的相关资料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须于中标后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2日内</w:t>
      </w:r>
      <w:r>
        <w:rPr>
          <w:rFonts w:hint="eastAsia" w:ascii="仿宋_GB2312" w:hAnsi="仿宋_GB2312" w:eastAsia="仿宋_GB2312" w:cs="仿宋_GB2312"/>
          <w:color w:val="auto"/>
          <w:sz w:val="24"/>
        </w:rPr>
        <w:t>报甲方备案。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</w:rPr>
        <w:t>、本项目所需设施设备投入费用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、垃圾清运等日常经营费用</w:t>
      </w:r>
      <w:r>
        <w:rPr>
          <w:rFonts w:hint="eastAsia" w:ascii="仿宋_GB2312" w:hAnsi="仿宋_GB2312" w:eastAsia="仿宋_GB2312" w:cs="仿宋_GB2312"/>
          <w:color w:val="auto"/>
          <w:sz w:val="24"/>
        </w:rPr>
        <w:t>以及相关工作人员的工资福利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社保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24"/>
        </w:rPr>
        <w:t>商业保险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4"/>
        </w:rPr>
        <w:t>均由乙方承担。合同期间如发生工伤意外事故的，由乙方负责善后及稳控工作。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</w:rPr>
        <w:t>、乙方在本项目的管理过程中确保合法经营，禁止一切黄赌毒等违法违规活动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严格遵照落实城市市容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安全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环保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交通城管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市场监督等要求。双方保持必要的工作沟通和交流，甲方有权对管理工作进行指导监督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6、乙方如需在上述指定区域范围外增设摊位的，须征得市场监管、交通城管等部门的书面同意。如在指定范围外擅自增设摊位的，甲方有权单方面要求撤除。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709" w:leftChars="186" w:right="0" w:rightChars="0" w:hanging="318" w:hangingChars="132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、项目要求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707" w:leftChars="186" w:right="0" w:rightChars="0" w:hanging="316" w:hangingChars="1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</w:rPr>
        <w:t>1、本项目中各摊位设置规格为4米×3米；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7" w:leftChars="0" w:right="0" w:rightChars="0" w:firstLine="384" w:firstLineChars="16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、本项目实行一户一摊实名登记的原则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乙方按照本项目实施方案确定摊位承租人，乙方负责将各中标经营人员及经营项目资料报甲方备案；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20" w:firstLineChars="175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、合同期间乙方应配备适当的人员专门负责日常管理工作，相关工作人员必须做好安全教育和岗位培训工作；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7" w:leftChars="0" w:right="0" w:rightChars="0" w:firstLine="384" w:firstLineChars="16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乙方设立值班岗亭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垃圾容器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消防安全等必要设施设备。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经营过程中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产生的垃圾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由乙方自行聘请具有相应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资质的清运单位运至政府指定的垃圾收集点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确保区域内卫生整洁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无可视垃圾、无污水等现象；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乙方不得将本项目转包给第三方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要确保各档摊位经营者合法诚信经营。区域内不得私搭乱建，不得堆放或经营易燃易爆有毒等物品；禁止在集市范围内宰杀活禽生猪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售卖肉类；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 xml:space="preserve">    6、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本项目合同期满15日内，乙方应清理完毕本项目规定之区域内存在的垃圾以及临时设施。否则甲方有权自行清理，并且不予退还履约保证金。当履约保证金不足以支付相关清理费用的，甲方有权向乙方提出索赔。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五、不可抗力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任何一方由于不可抗力原因不能履行合同时，应在不可抗力事件结束后1日内向对方通报，以减轻可能给对方造成的损失，在取得有关机构的不可抗力证明或双方谅解确认后，允许延期履行或修订合同，并根据情况可部分或全部免于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856" w:leftChars="178" w:right="0" w:rightChars="0" w:hanging="482" w:hanging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六、其它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20" w:firstLineChars="17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1、所有经双方或多方签署确认的文件（包括会议纪要、补充协议、合同的附件)均为本合同不可分割的有效组成部分，与本合同具有同等的法律效力和履约义务，其生效日期为签字盖章确认之日期；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20" w:firstLineChars="17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2、如一方地址、电话、银行账号有变更，应在变更当日内书面通知对方，否则，应承担相应责任；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235" w:leftChars="112" w:right="0" w:rightChars="0" w:firstLine="182" w:firstLineChars="76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3、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未尽事宜双方可另行协商解决</w:t>
      </w:r>
      <w:r>
        <w:rPr>
          <w:rFonts w:hint="eastAsia" w:ascii="仿宋_GB2312" w:hAnsi="仿宋_GB2312" w:eastAsia="仿宋_GB2312" w:cs="仿宋_GB2312"/>
          <w:color w:val="auto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638" w:leftChars="200" w:right="0" w:rightChars="0" w:hanging="218" w:hangingChars="91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color w:val="FF0000"/>
          <w:sz w:val="24"/>
        </w:rPr>
        <w:t>4、本合同一式叁份，甲、乙双方各执一份，荷城街道公共资源交易</w:t>
      </w:r>
      <w:r>
        <w:rPr>
          <w:rFonts w:hint="eastAsia" w:ascii="仿宋_GB2312" w:hAnsi="仿宋_GB2312" w:eastAsia="仿宋_GB2312" w:cs="仿宋_GB2312"/>
          <w:color w:val="FF0000"/>
          <w:sz w:val="24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color w:val="FF0000"/>
          <w:sz w:val="24"/>
        </w:rPr>
        <w:t>执一份，各份具有同等法律效力。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638" w:leftChars="200" w:right="0" w:rightChars="0" w:hanging="218" w:hangingChars="91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5、本合同共计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eastAsia="zh-CN"/>
        </w:rPr>
        <w:t>肆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页A4纸张，缺页之合同为无效合同；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20" w:firstLineChars="17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6、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本合同签约履约地点：广东省佛山市高明区。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甲方（盖章）：                                 乙方（盖章）：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法人代表或授权代理人（签字）：                 法人代表或授权代理人（签字）：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地址：                       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电话：                     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日期：        年     月    日             日期：     年     月 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ascii="微软雅黑" w:hAnsi="微软雅黑" w:eastAsia="微软雅黑" w:cs="宋体"/>
          <w:color w:val="auto"/>
          <w:sz w:val="24"/>
        </w:rPr>
      </w:pPr>
      <w:r>
        <w:rPr>
          <w:rFonts w:hint="eastAsia" w:ascii="微软雅黑" w:hAnsi="微软雅黑" w:eastAsia="微软雅黑" w:cs="宋体"/>
          <w:color w:val="auto"/>
          <w:sz w:val="24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TczOTNhM2E2MTE2YWM2NjcxMDU4MzMzNmY2MDkifQ=="/>
  </w:docVars>
  <w:rsids>
    <w:rsidRoot w:val="00CA6467"/>
    <w:rsid w:val="00002579"/>
    <w:rsid w:val="000103D4"/>
    <w:rsid w:val="000B133F"/>
    <w:rsid w:val="000B3792"/>
    <w:rsid w:val="000F27E7"/>
    <w:rsid w:val="00121589"/>
    <w:rsid w:val="00121DF4"/>
    <w:rsid w:val="00137F7D"/>
    <w:rsid w:val="00145C4E"/>
    <w:rsid w:val="001815CA"/>
    <w:rsid w:val="001B1339"/>
    <w:rsid w:val="00237B19"/>
    <w:rsid w:val="00253AF8"/>
    <w:rsid w:val="00256F08"/>
    <w:rsid w:val="002700A2"/>
    <w:rsid w:val="0027473B"/>
    <w:rsid w:val="00296C0F"/>
    <w:rsid w:val="002D237C"/>
    <w:rsid w:val="002E0532"/>
    <w:rsid w:val="002E72F1"/>
    <w:rsid w:val="00302B5A"/>
    <w:rsid w:val="0031064F"/>
    <w:rsid w:val="00365F79"/>
    <w:rsid w:val="00384A18"/>
    <w:rsid w:val="003A6484"/>
    <w:rsid w:val="003F1585"/>
    <w:rsid w:val="003F739D"/>
    <w:rsid w:val="0045497C"/>
    <w:rsid w:val="00485B68"/>
    <w:rsid w:val="004A125E"/>
    <w:rsid w:val="004A16ED"/>
    <w:rsid w:val="005106DC"/>
    <w:rsid w:val="00535CBB"/>
    <w:rsid w:val="005C64C8"/>
    <w:rsid w:val="005D364B"/>
    <w:rsid w:val="005E17BA"/>
    <w:rsid w:val="00644405"/>
    <w:rsid w:val="00651637"/>
    <w:rsid w:val="006A65BD"/>
    <w:rsid w:val="00711215"/>
    <w:rsid w:val="00712F21"/>
    <w:rsid w:val="00731697"/>
    <w:rsid w:val="007F1942"/>
    <w:rsid w:val="00807E61"/>
    <w:rsid w:val="0082323B"/>
    <w:rsid w:val="008C0ECC"/>
    <w:rsid w:val="00905BBC"/>
    <w:rsid w:val="00915E8A"/>
    <w:rsid w:val="00961DC8"/>
    <w:rsid w:val="009643AD"/>
    <w:rsid w:val="0098542D"/>
    <w:rsid w:val="009D2816"/>
    <w:rsid w:val="00A56C79"/>
    <w:rsid w:val="00A57E35"/>
    <w:rsid w:val="00A8451F"/>
    <w:rsid w:val="00AC66D8"/>
    <w:rsid w:val="00B029A0"/>
    <w:rsid w:val="00B637D5"/>
    <w:rsid w:val="00B87CF2"/>
    <w:rsid w:val="00B92765"/>
    <w:rsid w:val="00BD2397"/>
    <w:rsid w:val="00BD26B5"/>
    <w:rsid w:val="00BD3242"/>
    <w:rsid w:val="00C45C8B"/>
    <w:rsid w:val="00CA6467"/>
    <w:rsid w:val="00CC2C4B"/>
    <w:rsid w:val="00CD50D5"/>
    <w:rsid w:val="00CF343C"/>
    <w:rsid w:val="00D05762"/>
    <w:rsid w:val="00D25142"/>
    <w:rsid w:val="00D34C9F"/>
    <w:rsid w:val="00D42AD8"/>
    <w:rsid w:val="00DB1519"/>
    <w:rsid w:val="00DD3359"/>
    <w:rsid w:val="00DD4D91"/>
    <w:rsid w:val="00E43BA2"/>
    <w:rsid w:val="00E56C56"/>
    <w:rsid w:val="00E724C0"/>
    <w:rsid w:val="00EA1179"/>
    <w:rsid w:val="00ED1ED8"/>
    <w:rsid w:val="00EE426B"/>
    <w:rsid w:val="00EE68B7"/>
    <w:rsid w:val="00F546AC"/>
    <w:rsid w:val="00FB2F30"/>
    <w:rsid w:val="00FF16B5"/>
    <w:rsid w:val="04EA1712"/>
    <w:rsid w:val="0A735010"/>
    <w:rsid w:val="10A31173"/>
    <w:rsid w:val="10BE270F"/>
    <w:rsid w:val="1C10386E"/>
    <w:rsid w:val="22670686"/>
    <w:rsid w:val="23B2534B"/>
    <w:rsid w:val="2B077E37"/>
    <w:rsid w:val="311F4830"/>
    <w:rsid w:val="33E86FDF"/>
    <w:rsid w:val="37B57C1F"/>
    <w:rsid w:val="3B3A6533"/>
    <w:rsid w:val="3DB64B6B"/>
    <w:rsid w:val="425B5A91"/>
    <w:rsid w:val="429718A8"/>
    <w:rsid w:val="430B0A97"/>
    <w:rsid w:val="43E9416A"/>
    <w:rsid w:val="45F953DA"/>
    <w:rsid w:val="611D6F8E"/>
    <w:rsid w:val="6F60685A"/>
    <w:rsid w:val="7062170D"/>
    <w:rsid w:val="72DA1871"/>
    <w:rsid w:val="7E3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章标题"/>
    <w:basedOn w:val="2"/>
    <w:qFormat/>
    <w:uiPriority w:val="0"/>
    <w:pPr>
      <w:widowControl/>
      <w:jc w:val="center"/>
    </w:pPr>
    <w:rPr>
      <w:rFonts w:ascii="宋体" w:hAnsi="Arial" w:cs="Times New Roman"/>
      <w:b/>
      <w:kern w:val="0"/>
      <w:sz w:val="32"/>
      <w:szCs w:val="18"/>
    </w:rPr>
  </w:style>
  <w:style w:type="paragraph" w:customStyle="1" w:styleId="9">
    <w:name w:val="Char5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0">
    <w:name w:val="正文 New New New"/>
    <w:qFormat/>
    <w:uiPriority w:val="0"/>
    <w:pPr>
      <w:widowControl w:val="0"/>
      <w:ind w:firstLine="0" w:firstLineChars="0"/>
      <w:jc w:val="both"/>
    </w:pPr>
    <w:rPr>
      <w:rFonts w:ascii="Tahoma" w:hAnsi="Tahoma" w:eastAsia="宋体" w:cs="黑体"/>
      <w:kern w:val="2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1904</Characters>
  <Lines>15</Lines>
  <Paragraphs>4</Paragraphs>
  <TotalTime>1</TotalTime>
  <ScaleCrop>false</ScaleCrop>
  <LinksUpToDate>false</LinksUpToDate>
  <CharactersWithSpaces>2234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2019-08-10T09:55:00Z</dcterms:created>
  <dc:creator>WRGHO</dc:creator>
  <cp:lastModifiedBy>玩狮</cp:lastModifiedBy>
  <cp:lastPrinted>2020-01-02T03:25:00Z</cp:lastPrinted>
  <dcterms:modified xsi:type="dcterms:W3CDTF">2022-11-22T01:18:06Z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A42030B15E2449D39FBEF77427712267</vt:lpwstr>
  </property>
</Properties>
</file>