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0" w:after="0" w:line="360" w:lineRule="auto"/>
        <w:ind w:firstLine="0" w:firstLineChars="0"/>
        <w:jc w:val="center"/>
        <w:rPr>
          <w:rFonts w:eastAsia="黑体" w:cs="Times New Roman"/>
          <w:sz w:val="44"/>
        </w:rPr>
      </w:pPr>
      <w:r>
        <w:rPr>
          <w:rFonts w:eastAsia="黑体" w:cs="Times New Roman"/>
          <w:sz w:val="44"/>
        </w:rPr>
        <w:t>佛山市</w:t>
      </w:r>
      <w:r>
        <w:rPr>
          <w:rFonts w:hint="eastAsia" w:eastAsia="黑体" w:cs="Times New Roman"/>
          <w:sz w:val="44"/>
          <w:lang w:val="en-US" w:eastAsia="zh-CN"/>
        </w:rPr>
        <w:t>高明</w:t>
      </w:r>
      <w:r>
        <w:rPr>
          <w:rFonts w:eastAsia="黑体" w:cs="Times New Roman"/>
          <w:sz w:val="44"/>
        </w:rPr>
        <w:t>区202</w:t>
      </w:r>
      <w:r>
        <w:rPr>
          <w:rFonts w:hint="eastAsia" w:eastAsia="黑体" w:cs="Times New Roman"/>
          <w:sz w:val="44"/>
          <w:lang w:val="en-US" w:eastAsia="zh-CN"/>
        </w:rPr>
        <w:t>2</w:t>
      </w:r>
      <w:r>
        <w:rPr>
          <w:rFonts w:eastAsia="黑体" w:cs="Times New Roman"/>
          <w:sz w:val="44"/>
        </w:rPr>
        <w:t>年度土地征收</w:t>
      </w:r>
    </w:p>
    <w:p>
      <w:pPr>
        <w:keepNext/>
        <w:keepLines/>
        <w:spacing w:before="0" w:after="0" w:line="360" w:lineRule="auto"/>
        <w:ind w:firstLine="0" w:firstLineChars="0"/>
        <w:jc w:val="center"/>
        <w:rPr>
          <w:rFonts w:hint="eastAsia" w:eastAsia="黑体" w:cs="Times New Roman"/>
          <w:sz w:val="44"/>
          <w:lang w:val="en-US" w:eastAsia="zh-CN"/>
        </w:rPr>
      </w:pPr>
      <w:r>
        <w:rPr>
          <w:rFonts w:eastAsia="黑体" w:cs="Times New Roman"/>
          <w:sz w:val="44"/>
        </w:rPr>
        <w:t>成片开发方案</w:t>
      </w:r>
      <w:r>
        <w:rPr>
          <w:rFonts w:hint="eastAsia" w:eastAsia="黑体" w:cs="Times New Roman"/>
          <w:sz w:val="44"/>
          <w:lang w:eastAsia="zh-CN"/>
        </w:rPr>
        <w:t>（</w:t>
      </w:r>
      <w:r>
        <w:rPr>
          <w:rFonts w:hint="eastAsia" w:eastAsia="黑体" w:cs="Times New Roman"/>
          <w:sz w:val="44"/>
          <w:lang w:val="en-US" w:eastAsia="zh-CN"/>
        </w:rPr>
        <w:t>草案</w:t>
      </w:r>
      <w:r>
        <w:rPr>
          <w:rFonts w:hint="eastAsia" w:eastAsia="黑体" w:cs="Times New Roman"/>
          <w:sz w:val="44"/>
          <w:lang w:eastAsia="zh-CN"/>
        </w:rPr>
        <w:t>）</w:t>
      </w:r>
    </w:p>
    <w:p>
      <w:pPr>
        <w:pStyle w:val="9"/>
        <w:numPr>
          <w:ilvl w:val="0"/>
          <w:numId w:val="4"/>
        </w:numPr>
        <w:spacing w:before="120" w:after="120" w:line="360" w:lineRule="auto"/>
        <w:ind w:firstLine="0" w:firstLineChars="0"/>
        <w:outlineLvl w:val="0"/>
        <w:rPr>
          <w:rFonts w:hint="eastAsia" w:ascii="黑体" w:hAnsi="黑体" w:eastAsia="黑体" w:cs="黑体"/>
          <w:sz w:val="36"/>
          <w:szCs w:val="36"/>
        </w:rPr>
      </w:pPr>
      <w:bookmarkStart w:id="0" w:name="_Toc19364"/>
      <w:r>
        <w:rPr>
          <w:rFonts w:hint="eastAsia" w:ascii="黑体" w:hAnsi="黑体" w:eastAsia="黑体" w:cs="黑体"/>
          <w:sz w:val="36"/>
          <w:szCs w:val="36"/>
          <w:lang w:val="en-US" w:eastAsia="zh-CN"/>
        </w:rPr>
        <w:t>编制背景</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月1日，《中华人民共和国土地管理法》（2019年修正）（以下简称《土地管理法》）正式实施，明确了为公共利益需要可依法征收土地的情形，文件要求除军事外交、政府组织实施的基础设施建设、公共事业，以及扶贫搬迁、保障性安居工程建设需要用地可依法实施征收外，产业经营性建设用地的则需要按照相关要求通过成片开发的途径进行征地。同年，自然资源部印发《土地征收成片开发标准（试行）的通知》（自然资规〔2020〕5号）（以下简称《标准》），进一步明确了成片开发范围划定、方案编制等要求，土地征收成片开发制度全面实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为满足城市发展用地需求，规范征地程序，保障被征地农民合法权益，根据《中华人民共和国土地管理法》等政策规定，佛山市</w:t>
      </w:r>
      <w:r>
        <w:rPr>
          <w:rFonts w:hint="eastAsia" w:ascii="仿宋_GB2312" w:hAnsi="仿宋_GB2312" w:eastAsia="仿宋_GB2312" w:cs="仿宋_GB2312"/>
          <w:sz w:val="32"/>
          <w:szCs w:val="32"/>
          <w:lang w:val="en-US" w:eastAsia="zh-CN"/>
        </w:rPr>
        <w:t>高明</w:t>
      </w:r>
      <w:r>
        <w:rPr>
          <w:rFonts w:hint="eastAsia" w:ascii="仿宋_GB2312" w:hAnsi="仿宋_GB2312" w:eastAsia="仿宋_GB2312" w:cs="仿宋_GB2312"/>
          <w:sz w:val="32"/>
          <w:szCs w:val="32"/>
        </w:rPr>
        <w:t>区人民政府组织编制了本方案。</w:t>
      </w:r>
    </w:p>
    <w:p>
      <w:pPr>
        <w:pStyle w:val="9"/>
        <w:numPr>
          <w:ilvl w:val="0"/>
          <w:numId w:val="4"/>
        </w:numPr>
        <w:spacing w:before="120" w:after="120" w:line="360" w:lineRule="auto"/>
        <w:ind w:firstLine="0" w:firstLineChars="0"/>
        <w:outlineLvl w:val="0"/>
        <w:rPr>
          <w:rFonts w:hint="eastAsia" w:ascii="黑体" w:hAnsi="黑体" w:eastAsia="黑体" w:cs="黑体"/>
          <w:sz w:val="36"/>
          <w:szCs w:val="36"/>
        </w:rPr>
      </w:pPr>
      <w:r>
        <w:rPr>
          <w:rFonts w:hint="eastAsia" w:ascii="黑体" w:hAnsi="黑体" w:eastAsia="黑体" w:cs="黑体"/>
          <w:sz w:val="36"/>
          <w:szCs w:val="36"/>
        </w:rPr>
        <w:t>编制依据</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依据《中华人民共和国土地管理法》（2019年修正）、《自然资源部关于印发〈土地征收成片开发标准（试行）〉的通知》（自然资规〔2020〕5 号）等文件规定，编制《佛山市高明区2022年度土地征收成片开发方案》。</w:t>
      </w:r>
    </w:p>
    <w:p>
      <w:pPr>
        <w:pStyle w:val="2"/>
        <w:rPr>
          <w:rFonts w:hint="eastAsia"/>
          <w:lang w:val="en-US" w:eastAsia="zh-CN"/>
        </w:rPr>
      </w:pPr>
    </w:p>
    <w:p>
      <w:pPr>
        <w:pStyle w:val="9"/>
        <w:numPr>
          <w:ilvl w:val="0"/>
          <w:numId w:val="4"/>
        </w:numPr>
        <w:spacing w:before="120" w:after="120" w:line="360" w:lineRule="auto"/>
        <w:ind w:firstLine="0" w:firstLineChars="0"/>
        <w:outlineLvl w:val="0"/>
        <w:rPr>
          <w:rFonts w:hint="eastAsia" w:ascii="黑体" w:hAnsi="黑体" w:eastAsia="黑体" w:cs="黑体"/>
          <w:sz w:val="36"/>
          <w:szCs w:val="36"/>
        </w:rPr>
      </w:pPr>
      <w:bookmarkStart w:id="1" w:name="_Toc24175"/>
      <w:r>
        <w:rPr>
          <w:rFonts w:hint="eastAsia" w:ascii="黑体" w:hAnsi="黑体" w:eastAsia="黑体" w:cs="黑体"/>
          <w:sz w:val="36"/>
          <w:szCs w:val="36"/>
        </w:rPr>
        <w:t>成片开发范围基本情况</w:t>
      </w:r>
      <w:bookmarkEnd w:id="1"/>
    </w:p>
    <w:p>
      <w:pPr>
        <w:spacing w:line="560" w:lineRule="exact"/>
        <w:ind w:firstLine="640" w:firstLineChars="0"/>
        <w:jc w:val="both"/>
        <w:rPr>
          <w:rFonts w:hint="eastAsia" w:ascii="仿宋_GB2312" w:hAnsi="仿宋_GB2312" w:eastAsia="仿宋_GB2312" w:cs="仿宋_GB2312"/>
          <w:b w:val="0"/>
          <w:bCs w:val="0"/>
          <w:sz w:val="32"/>
          <w:szCs w:val="32"/>
          <w:lang w:val="en-US" w:eastAsia="zh-CN"/>
        </w:rPr>
        <w:sectPr>
          <w:footerReference r:id="rId5" w:type="default"/>
          <w:pgSz w:w="11906" w:h="16838"/>
          <w:pgMar w:top="1440" w:right="1797" w:bottom="1440" w:left="1797" w:header="851" w:footer="992" w:gutter="0"/>
          <w:pgNumType w:fmt="decimal" w:start="1"/>
          <w:cols w:space="0" w:num="1"/>
          <w:rtlGutter w:val="0"/>
          <w:docGrid w:type="lines" w:linePitch="395" w:charSpace="0"/>
        </w:sectPr>
      </w:pPr>
      <w:r>
        <w:rPr>
          <w:rFonts w:hint="eastAsia" w:ascii="仿宋_GB2312" w:hAnsi="仿宋_GB2312" w:eastAsia="仿宋_GB2312" w:cs="仿宋_GB2312"/>
          <w:sz w:val="32"/>
          <w:szCs w:val="32"/>
          <w:lang w:val="en-US" w:eastAsia="zh-CN"/>
        </w:rPr>
        <w:t>本次成片开发范围为高明区行政辖区内拟进行成片开发区域。根据划定原则，结合高明区荷城街道、明城镇和更合镇2022-2024年度土地征收工作和拟开发项目的连片程度，共划定27个成片开发片区，总面积</w:t>
      </w:r>
      <w:r>
        <w:rPr>
          <w:rFonts w:hint="eastAsia" w:ascii="仿宋_GB2312" w:hAnsi="仿宋_GB2312" w:eastAsia="仿宋_GB2312" w:cs="仿宋_GB2312"/>
          <w:sz w:val="32"/>
          <w:szCs w:val="32"/>
          <w:lang w:val="en-US" w:eastAsia="zh-CN"/>
        </w:rPr>
        <w:t>393.5123</w:t>
      </w:r>
      <w:r>
        <w:rPr>
          <w:rFonts w:hint="eastAsia" w:ascii="仿宋_GB2312" w:hAnsi="仿宋_GB2312" w:eastAsia="仿宋_GB2312" w:cs="仿宋_GB2312"/>
          <w:sz w:val="32"/>
          <w:szCs w:val="32"/>
          <w:lang w:val="en-US" w:eastAsia="zh-CN"/>
        </w:rPr>
        <w:t>公顷，拟征收土地面积</w:t>
      </w:r>
      <w:r>
        <w:rPr>
          <w:rFonts w:hint="eastAsia" w:ascii="仿宋_GB2312" w:hAnsi="仿宋_GB2312" w:eastAsia="仿宋_GB2312" w:cs="仿宋_GB2312"/>
          <w:sz w:val="32"/>
          <w:szCs w:val="32"/>
          <w:lang w:val="en-US" w:eastAsia="zh-CN"/>
        </w:rPr>
        <w:t>257.8326</w:t>
      </w:r>
      <w:r>
        <w:rPr>
          <w:rFonts w:hint="eastAsia" w:ascii="仿宋_GB2312" w:hAnsi="仿宋_GB2312" w:eastAsia="仿宋_GB2312" w:cs="仿宋_GB2312"/>
          <w:sz w:val="32"/>
          <w:szCs w:val="32"/>
          <w:lang w:val="en-US" w:eastAsia="zh-CN"/>
        </w:rPr>
        <w:t>公顷。</w:t>
      </w:r>
    </w:p>
    <w:p>
      <w:pPr>
        <w:pStyle w:val="9"/>
        <w:ind w:firstLine="0" w:firstLineChars="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表3-1 各成片开发片区基本情况汇总表</w:t>
      </w:r>
    </w:p>
    <w:tbl>
      <w:tblPr>
        <w:tblStyle w:val="1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23"/>
        <w:gridCol w:w="1587"/>
        <w:gridCol w:w="1428"/>
        <w:gridCol w:w="1422"/>
        <w:gridCol w:w="1422"/>
        <w:gridCol w:w="7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tblHeader/>
          <w:jc w:val="center"/>
        </w:trPr>
        <w:tc>
          <w:tcPr>
            <w:tcW w:w="361" w:type="pct"/>
            <w:vMerge w:val="restar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b/>
                <w:bCs/>
                <w:i w:val="0"/>
                <w:iCs w:val="0"/>
                <w:sz w:val="21"/>
                <w:szCs w:val="21"/>
                <w:u w:val="none"/>
              </w:rPr>
            </w:pPr>
            <w:r>
              <w:rPr>
                <w:rFonts w:hint="eastAsia" w:ascii="仿宋_GB2312" w:hAnsi="仿宋_GB2312" w:eastAsia="仿宋_GB2312" w:cs="仿宋_GB2312"/>
                <w:b/>
                <w:bCs/>
                <w:i w:val="0"/>
                <w:iCs w:val="0"/>
                <w:kern w:val="2"/>
                <w:sz w:val="21"/>
                <w:szCs w:val="21"/>
                <w:u w:val="none"/>
                <w:lang w:val="en-US" w:eastAsia="zh-CN" w:bidi="ar"/>
              </w:rPr>
              <w:t>序号</w:t>
            </w:r>
          </w:p>
        </w:tc>
        <w:tc>
          <w:tcPr>
            <w:tcW w:w="560" w:type="pct"/>
            <w:vMerge w:val="restar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b/>
                <w:bCs/>
                <w:i w:val="0"/>
                <w:iCs w:val="0"/>
                <w:sz w:val="21"/>
                <w:szCs w:val="21"/>
                <w:u w:val="none"/>
              </w:rPr>
            </w:pPr>
            <w:r>
              <w:rPr>
                <w:rFonts w:hint="eastAsia" w:ascii="仿宋_GB2312" w:hAnsi="仿宋_GB2312" w:eastAsia="仿宋_GB2312" w:cs="仿宋_GB2312"/>
                <w:b/>
                <w:bCs/>
                <w:i w:val="0"/>
                <w:iCs w:val="0"/>
                <w:kern w:val="2"/>
                <w:sz w:val="21"/>
                <w:szCs w:val="21"/>
                <w:u w:val="none"/>
                <w:lang w:val="en-US" w:eastAsia="zh-CN" w:bidi="ar"/>
              </w:rPr>
              <w:t>成片开发</w:t>
            </w:r>
            <w:r>
              <w:rPr>
                <w:rFonts w:hint="eastAsia" w:ascii="仿宋_GB2312" w:hAnsi="仿宋_GB2312" w:eastAsia="仿宋_GB2312" w:cs="仿宋_GB2312"/>
                <w:b/>
                <w:bCs/>
                <w:i w:val="0"/>
                <w:iCs w:val="0"/>
                <w:kern w:val="2"/>
                <w:sz w:val="21"/>
                <w:szCs w:val="21"/>
                <w:u w:val="none"/>
                <w:lang w:val="en-US" w:eastAsia="zh-CN" w:bidi="ar"/>
              </w:rPr>
              <w:t>片区</w:t>
            </w:r>
            <w:r>
              <w:rPr>
                <w:rFonts w:hint="eastAsia" w:ascii="仿宋_GB2312" w:hAnsi="仿宋_GB2312" w:eastAsia="仿宋_GB2312" w:cs="仿宋_GB2312"/>
                <w:b/>
                <w:bCs/>
                <w:i w:val="0"/>
                <w:iCs w:val="0"/>
                <w:kern w:val="2"/>
                <w:sz w:val="21"/>
                <w:szCs w:val="21"/>
                <w:u w:val="none"/>
                <w:lang w:val="en-US" w:eastAsia="zh-CN" w:bidi="ar"/>
              </w:rPr>
              <w:t>名称</w:t>
            </w:r>
          </w:p>
        </w:tc>
        <w:tc>
          <w:tcPr>
            <w:tcW w:w="504" w:type="pct"/>
            <w:vMerge w:val="restar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b/>
                <w:bCs/>
                <w:i w:val="0"/>
                <w:iCs w:val="0"/>
                <w:sz w:val="21"/>
                <w:szCs w:val="21"/>
                <w:u w:val="none"/>
              </w:rPr>
            </w:pPr>
            <w:r>
              <w:rPr>
                <w:rFonts w:hint="eastAsia" w:ascii="仿宋_GB2312" w:hAnsi="仿宋_GB2312" w:eastAsia="仿宋_GB2312" w:cs="仿宋_GB2312"/>
                <w:b/>
                <w:bCs/>
                <w:i w:val="0"/>
                <w:iCs w:val="0"/>
                <w:kern w:val="2"/>
                <w:sz w:val="21"/>
                <w:szCs w:val="21"/>
                <w:u w:val="none"/>
                <w:lang w:val="en-US" w:eastAsia="zh-CN" w:bidi="ar"/>
              </w:rPr>
              <w:t>片区</w:t>
            </w:r>
            <w:r>
              <w:rPr>
                <w:rFonts w:hint="eastAsia" w:ascii="仿宋_GB2312" w:hAnsi="仿宋_GB2312" w:eastAsia="仿宋_GB2312" w:cs="仿宋_GB2312"/>
                <w:b/>
                <w:bCs/>
                <w:i w:val="0"/>
                <w:iCs w:val="0"/>
                <w:kern w:val="2"/>
                <w:sz w:val="21"/>
                <w:szCs w:val="21"/>
                <w:u w:val="none"/>
                <w:lang w:val="en-US" w:eastAsia="zh-CN" w:bidi="ar"/>
              </w:rPr>
              <w:t>位置</w:t>
            </w:r>
          </w:p>
        </w:tc>
        <w:tc>
          <w:tcPr>
            <w:tcW w:w="502" w:type="pct"/>
            <w:vMerge w:val="restar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b/>
                <w:bCs/>
                <w:i w:val="0"/>
                <w:iCs w:val="0"/>
                <w:sz w:val="21"/>
                <w:szCs w:val="21"/>
                <w:u w:val="none"/>
              </w:rPr>
            </w:pPr>
            <w:r>
              <w:rPr>
                <w:rFonts w:hint="eastAsia" w:ascii="仿宋_GB2312" w:hAnsi="仿宋_GB2312" w:eastAsia="仿宋_GB2312" w:cs="仿宋_GB2312"/>
                <w:b/>
                <w:bCs/>
                <w:i w:val="0"/>
                <w:iCs w:val="0"/>
                <w:kern w:val="2"/>
                <w:sz w:val="21"/>
                <w:szCs w:val="21"/>
                <w:u w:val="none"/>
                <w:lang w:val="en-US" w:eastAsia="zh-CN" w:bidi="ar"/>
              </w:rPr>
              <w:t>拟征收土地面积</w:t>
            </w:r>
            <w:r>
              <w:rPr>
                <w:rFonts w:hint="eastAsia" w:ascii="仿宋_GB2312" w:hAnsi="仿宋_GB2312" w:eastAsia="仿宋_GB2312" w:cs="仿宋_GB2312"/>
                <w:b/>
                <w:bCs/>
                <w:i w:val="0"/>
                <w:iCs w:val="0"/>
                <w:kern w:val="2"/>
                <w:sz w:val="21"/>
                <w:szCs w:val="21"/>
                <w:u w:val="none"/>
                <w:lang w:val="en-US" w:eastAsia="zh-CN" w:bidi="ar"/>
              </w:rPr>
              <w:br w:type="textWrapping"/>
            </w:r>
            <w:r>
              <w:rPr>
                <w:rFonts w:hint="eastAsia" w:ascii="仿宋_GB2312" w:hAnsi="仿宋_GB2312" w:eastAsia="仿宋_GB2312" w:cs="仿宋_GB2312"/>
                <w:b/>
                <w:bCs/>
                <w:i w:val="0"/>
                <w:iCs w:val="0"/>
                <w:kern w:val="2"/>
                <w:sz w:val="21"/>
                <w:szCs w:val="21"/>
                <w:u w:val="none"/>
                <w:lang w:val="en-US" w:eastAsia="zh-CN" w:bidi="ar"/>
              </w:rPr>
              <w:t>（公顷）</w:t>
            </w:r>
          </w:p>
        </w:tc>
        <w:tc>
          <w:tcPr>
            <w:tcW w:w="502" w:type="pct"/>
            <w:vMerge w:val="restar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b/>
                <w:bCs/>
                <w:i w:val="0"/>
                <w:iCs w:val="0"/>
                <w:sz w:val="21"/>
                <w:szCs w:val="21"/>
                <w:u w:val="none"/>
              </w:rPr>
            </w:pPr>
            <w:r>
              <w:rPr>
                <w:rFonts w:hint="eastAsia" w:ascii="仿宋_GB2312" w:hAnsi="仿宋_GB2312" w:eastAsia="仿宋_GB2312" w:cs="仿宋_GB2312"/>
                <w:b/>
                <w:bCs/>
                <w:i w:val="0"/>
                <w:iCs w:val="0"/>
                <w:kern w:val="2"/>
                <w:sz w:val="21"/>
                <w:szCs w:val="21"/>
                <w:u w:val="none"/>
                <w:lang w:val="en-US" w:eastAsia="zh-CN" w:bidi="ar"/>
              </w:rPr>
              <w:t>片区面积</w:t>
            </w:r>
            <w:r>
              <w:rPr>
                <w:rFonts w:hint="eastAsia" w:ascii="仿宋_GB2312" w:hAnsi="仿宋_GB2312" w:eastAsia="仿宋_GB2312" w:cs="仿宋_GB2312"/>
                <w:b/>
                <w:bCs/>
                <w:i w:val="0"/>
                <w:iCs w:val="0"/>
                <w:kern w:val="2"/>
                <w:sz w:val="21"/>
                <w:szCs w:val="21"/>
                <w:u w:val="none"/>
                <w:lang w:val="en-US" w:eastAsia="zh-CN" w:bidi="ar"/>
              </w:rPr>
              <w:br w:type="textWrapping"/>
            </w:r>
            <w:r>
              <w:rPr>
                <w:rFonts w:hint="eastAsia" w:ascii="仿宋_GB2312" w:hAnsi="仿宋_GB2312" w:eastAsia="仿宋_GB2312" w:cs="仿宋_GB2312"/>
                <w:b/>
                <w:bCs/>
                <w:i w:val="0"/>
                <w:iCs w:val="0"/>
                <w:kern w:val="2"/>
                <w:sz w:val="21"/>
                <w:szCs w:val="21"/>
                <w:u w:val="none"/>
                <w:lang w:val="en-US" w:eastAsia="zh-CN" w:bidi="ar"/>
              </w:rPr>
              <w:t>（公顷）</w:t>
            </w:r>
          </w:p>
        </w:tc>
        <w:tc>
          <w:tcPr>
            <w:tcW w:w="2570" w:type="pct"/>
            <w:vMerge w:val="restar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b/>
                <w:bCs/>
                <w:i w:val="0"/>
                <w:iCs w:val="0"/>
                <w:sz w:val="21"/>
                <w:szCs w:val="21"/>
                <w:u w:val="none"/>
              </w:rPr>
            </w:pPr>
            <w:r>
              <w:rPr>
                <w:rFonts w:hint="eastAsia" w:ascii="仿宋_GB2312" w:hAnsi="仿宋_GB2312" w:eastAsia="仿宋_GB2312" w:cs="仿宋_GB2312"/>
                <w:b/>
                <w:bCs/>
                <w:i w:val="0"/>
                <w:iCs w:val="0"/>
                <w:kern w:val="2"/>
                <w:sz w:val="21"/>
                <w:szCs w:val="21"/>
                <w:u w:val="none"/>
                <w:lang w:val="en-US" w:eastAsia="zh-CN" w:bidi="ar"/>
              </w:rPr>
              <w:t>现状土地利用情况及基础设施条件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tblHeader/>
          <w:jc w:val="center"/>
        </w:trPr>
        <w:tc>
          <w:tcPr>
            <w:tcW w:w="361" w:type="pct"/>
            <w:vMerge w:val="continue"/>
            <w:shd w:val="clear" w:color="auto" w:fill="auto"/>
            <w:vAlign w:val="center"/>
          </w:tcPr>
          <w:p>
            <w:pPr>
              <w:spacing w:line="240" w:lineRule="auto"/>
              <w:ind w:firstLine="0" w:firstLineChars="0"/>
              <w:jc w:val="center"/>
              <w:rPr>
                <w:rFonts w:hint="eastAsia" w:ascii="仿宋_GB2312" w:hAnsi="仿宋_GB2312" w:eastAsia="仿宋_GB2312" w:cs="仿宋_GB2312"/>
                <w:b w:val="0"/>
                <w:bCs w:val="0"/>
                <w:i w:val="0"/>
                <w:iCs w:val="0"/>
                <w:sz w:val="21"/>
                <w:szCs w:val="21"/>
                <w:u w:val="none"/>
              </w:rPr>
            </w:pPr>
          </w:p>
        </w:tc>
        <w:tc>
          <w:tcPr>
            <w:tcW w:w="560" w:type="pct"/>
            <w:vMerge w:val="continue"/>
            <w:shd w:val="clear" w:color="auto" w:fill="auto"/>
            <w:vAlign w:val="center"/>
          </w:tcPr>
          <w:p>
            <w:pPr>
              <w:spacing w:line="240" w:lineRule="auto"/>
              <w:ind w:firstLine="0" w:firstLineChars="0"/>
              <w:jc w:val="center"/>
              <w:rPr>
                <w:rFonts w:hint="eastAsia" w:ascii="仿宋_GB2312" w:hAnsi="仿宋_GB2312" w:eastAsia="仿宋_GB2312" w:cs="仿宋_GB2312"/>
                <w:b w:val="0"/>
                <w:bCs w:val="0"/>
                <w:i w:val="0"/>
                <w:iCs w:val="0"/>
                <w:sz w:val="21"/>
                <w:szCs w:val="21"/>
                <w:u w:val="none"/>
              </w:rPr>
            </w:pPr>
          </w:p>
        </w:tc>
        <w:tc>
          <w:tcPr>
            <w:tcW w:w="504" w:type="pct"/>
            <w:vMerge w:val="continue"/>
            <w:shd w:val="clear" w:color="auto" w:fill="auto"/>
            <w:vAlign w:val="center"/>
          </w:tcPr>
          <w:p>
            <w:pPr>
              <w:spacing w:line="240" w:lineRule="auto"/>
              <w:ind w:firstLine="0" w:firstLineChars="0"/>
              <w:jc w:val="center"/>
              <w:rPr>
                <w:rFonts w:hint="eastAsia" w:ascii="仿宋_GB2312" w:hAnsi="仿宋_GB2312" w:eastAsia="仿宋_GB2312" w:cs="仿宋_GB2312"/>
                <w:b w:val="0"/>
                <w:bCs w:val="0"/>
                <w:i w:val="0"/>
                <w:iCs w:val="0"/>
                <w:sz w:val="21"/>
                <w:szCs w:val="21"/>
                <w:u w:val="none"/>
              </w:rPr>
            </w:pPr>
          </w:p>
        </w:tc>
        <w:tc>
          <w:tcPr>
            <w:tcW w:w="502" w:type="pct"/>
            <w:vMerge w:val="continue"/>
            <w:shd w:val="clear" w:color="auto" w:fill="auto"/>
            <w:vAlign w:val="center"/>
          </w:tcPr>
          <w:p>
            <w:pPr>
              <w:spacing w:line="240" w:lineRule="auto"/>
              <w:ind w:firstLine="0" w:firstLineChars="0"/>
              <w:jc w:val="center"/>
              <w:rPr>
                <w:rFonts w:hint="eastAsia" w:ascii="仿宋_GB2312" w:hAnsi="仿宋_GB2312" w:eastAsia="仿宋_GB2312" w:cs="仿宋_GB2312"/>
                <w:b w:val="0"/>
                <w:bCs w:val="0"/>
                <w:i w:val="0"/>
                <w:iCs w:val="0"/>
                <w:sz w:val="21"/>
                <w:szCs w:val="21"/>
                <w:u w:val="none"/>
              </w:rPr>
            </w:pPr>
          </w:p>
        </w:tc>
        <w:tc>
          <w:tcPr>
            <w:tcW w:w="502" w:type="pct"/>
            <w:vMerge w:val="continue"/>
            <w:shd w:val="clear" w:color="auto" w:fill="auto"/>
            <w:vAlign w:val="center"/>
          </w:tcPr>
          <w:p>
            <w:pPr>
              <w:spacing w:line="240" w:lineRule="auto"/>
              <w:ind w:firstLine="0" w:firstLineChars="0"/>
              <w:jc w:val="center"/>
              <w:rPr>
                <w:rFonts w:hint="eastAsia" w:ascii="仿宋_GB2312" w:hAnsi="仿宋_GB2312" w:eastAsia="仿宋_GB2312" w:cs="仿宋_GB2312"/>
                <w:b w:val="0"/>
                <w:bCs w:val="0"/>
                <w:i w:val="0"/>
                <w:iCs w:val="0"/>
                <w:sz w:val="21"/>
                <w:szCs w:val="21"/>
                <w:u w:val="none"/>
              </w:rPr>
            </w:pPr>
          </w:p>
        </w:tc>
        <w:tc>
          <w:tcPr>
            <w:tcW w:w="2570" w:type="pct"/>
            <w:vMerge w:val="continue"/>
            <w:shd w:val="clear" w:color="auto" w:fill="auto"/>
            <w:vAlign w:val="center"/>
          </w:tcPr>
          <w:p>
            <w:pPr>
              <w:spacing w:line="240" w:lineRule="auto"/>
              <w:ind w:firstLine="0" w:firstLineChars="0"/>
              <w:jc w:val="center"/>
              <w:rPr>
                <w:rFonts w:hint="eastAsia" w:ascii="仿宋_GB2312" w:hAnsi="仿宋_GB2312" w:eastAsia="仿宋_GB2312" w:cs="仿宋_GB2312"/>
                <w:b w:val="0"/>
                <w:bCs w:val="0"/>
                <w:i w:val="0"/>
                <w:iCs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01</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荷富路东二片区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荷城街道江湾社区</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5.1600</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8.1634</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现状土地利用情况：农用地面积5.3310公顷；建设用地面积2.1535公顷，未利用地面积0.6789公顷。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临兴富路，南临高富一路，西临499县道。片区周边配备有荷城街道富湾职业教育园、广东外语外贸大学附属佛山外国语学校、广二师高明附校和伟源幼儿园等教育设施；片区周边现有富湾社区卫生服务中心、富湾市场、江湾商业广场等医疗、商业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02</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电力智造园片区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荷城街道江湾社区、照明社区</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10.3235</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17.2069</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现状土地利用情况：农用地面积5.6859公顷；建设用地面积2.1840公顷；未利用地面积9.3370公顷。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基础设施条件：北临西安河，东临499县道。片区周边配备有榴边村公园、乐杨幼儿园和榴边加油站等公共服务设施。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03</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照明产业基地片区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荷城街道王臣村、照明社区</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8.7622</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14.5279</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w:t>
            </w:r>
            <w:r>
              <w:rPr>
                <w:rFonts w:hint="eastAsia" w:ascii="仿宋_GB2312" w:hAnsi="仿宋_GB2312" w:eastAsia="仿宋_GB2312" w:cs="仿宋_GB2312"/>
                <w:i w:val="0"/>
                <w:iCs w:val="0"/>
                <w:kern w:val="2"/>
                <w:sz w:val="21"/>
                <w:szCs w:val="21"/>
                <w:u w:val="none"/>
                <w:lang w:val="en-US" w:eastAsia="zh-CN" w:bidi="ar"/>
              </w:rPr>
              <w:t>8.8073</w:t>
            </w:r>
            <w:r>
              <w:rPr>
                <w:rFonts w:hint="eastAsia" w:ascii="仿宋_GB2312" w:hAnsi="仿宋_GB2312" w:eastAsia="仿宋_GB2312" w:cs="仿宋_GB2312"/>
                <w:i w:val="0"/>
                <w:iCs w:val="0"/>
                <w:kern w:val="2"/>
                <w:sz w:val="21"/>
                <w:szCs w:val="21"/>
                <w:u w:val="none"/>
                <w:lang w:val="en-US" w:eastAsia="zh-CN" w:bidi="ar"/>
              </w:rPr>
              <w:t>公顷；建设用地面积</w:t>
            </w:r>
            <w:r>
              <w:rPr>
                <w:rFonts w:hint="eastAsia" w:ascii="仿宋_GB2312" w:hAnsi="仿宋_GB2312" w:eastAsia="仿宋_GB2312" w:cs="仿宋_GB2312"/>
                <w:i w:val="0"/>
                <w:iCs w:val="0"/>
                <w:kern w:val="2"/>
                <w:sz w:val="21"/>
                <w:szCs w:val="21"/>
                <w:u w:val="none"/>
                <w:lang w:val="en-US" w:eastAsia="zh-CN" w:bidi="ar"/>
              </w:rPr>
              <w:t>3.0747</w:t>
            </w:r>
            <w:r>
              <w:rPr>
                <w:rFonts w:hint="eastAsia" w:ascii="仿宋_GB2312" w:hAnsi="仿宋_GB2312" w:eastAsia="仿宋_GB2312" w:cs="仿宋_GB2312"/>
                <w:i w:val="0"/>
                <w:iCs w:val="0"/>
                <w:kern w:val="2"/>
                <w:sz w:val="21"/>
                <w:szCs w:val="21"/>
                <w:u w:val="none"/>
                <w:lang w:val="en-US" w:eastAsia="zh-CN" w:bidi="ar"/>
              </w:rPr>
              <w:t>公顷；未利用地面积</w:t>
            </w:r>
            <w:r>
              <w:rPr>
                <w:rFonts w:hint="eastAsia" w:ascii="仿宋_GB2312" w:hAnsi="仿宋_GB2312" w:eastAsia="仿宋_GB2312" w:cs="仿宋_GB2312"/>
                <w:i w:val="0"/>
                <w:iCs w:val="0"/>
                <w:kern w:val="2"/>
                <w:sz w:val="21"/>
                <w:szCs w:val="21"/>
                <w:u w:val="none"/>
                <w:lang w:val="en-US" w:eastAsia="zh-CN" w:bidi="ar"/>
              </w:rPr>
              <w:t>2.6459</w:t>
            </w:r>
            <w:r>
              <w:rPr>
                <w:rFonts w:hint="eastAsia" w:ascii="仿宋_GB2312" w:hAnsi="仿宋_GB2312" w:eastAsia="仿宋_GB2312" w:cs="仿宋_GB2312"/>
                <w:i w:val="0"/>
                <w:iCs w:val="0"/>
                <w:kern w:val="2"/>
                <w:sz w:val="21"/>
                <w:szCs w:val="21"/>
                <w:u w:val="none"/>
                <w:lang w:val="en-US" w:eastAsia="zh-CN" w:bidi="ar"/>
              </w:rPr>
              <w:t>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基础设施条件：北临蓬山路，南临市场路，东临荷富路。片区周边配备有照明卫生站、南蓬山森林公园、乐杨幼儿园和高明区消防大队第二中队等公共服务设施。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04</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莞佛高速北片区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荷城街道泰兴村、照明社区</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2.1725</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3.6210</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现状土地利用情况：农用地面积2.1795公顷；建设用地面积1.2817公顷；未利用地面积0.1598公顷。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基础设施条件：北至市场路，南临莞佛高速，东临荷富路。片区周边配备有照明卫生站、南蓬山森林公园、高明区消防大队第二中队，规划新建中、小学校等公共服务设施。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05</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庆洲工业区北片区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荷城街道泰兴村、庆洲社区</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37.8955</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55.8695</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现状土地利用情况：农用地面积27.7118公顷；建设用地面积11.9328公顷；未利用地面积16.2249公顷。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基础设施条件：北至499县道，南至丽景路，东至海华路，西至海天大道。片区周边配备有西安小学、西安幼儿园、贝贝星幼儿园、西安社区卫生服务中心、高明区如康养老服务中心等公共服务设施。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06</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庆洲工业区南片区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荷城街道庆洲社区</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1.2849</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2.1415</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现状土地利用情况：农用地面积0.0197公顷；建设用地面积0.7989公顷；未利用地面积1.3229公顷。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基础设施条件：北临丽景路，东至海田路，西至海天大道。片区周边有西安小学、西安幼儿园、贝贝星幼儿园、西安社区卫生服务中心、高明区如康养老服务中心等公共服务设施。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07</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高明河北片区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荷城街道庆洲社区</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6.2937</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10.487</w:t>
            </w:r>
            <w:r>
              <w:rPr>
                <w:rFonts w:hint="eastAsia" w:ascii="仿宋_GB2312" w:hAnsi="仿宋_GB2312" w:eastAsia="仿宋_GB2312" w:cs="仿宋_GB2312"/>
                <w:i w:val="0"/>
                <w:iCs w:val="0"/>
                <w:kern w:val="2"/>
                <w:sz w:val="21"/>
                <w:szCs w:val="21"/>
                <w:u w:val="none"/>
                <w:lang w:val="en-US" w:eastAsia="zh-CN" w:bidi="ar"/>
              </w:rPr>
              <w:t>2</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现状土地利用情况：农用地面积7.</w:t>
            </w:r>
            <w:r>
              <w:rPr>
                <w:rFonts w:hint="eastAsia" w:ascii="仿宋_GB2312" w:hAnsi="仿宋_GB2312" w:eastAsia="仿宋_GB2312" w:cs="仿宋_GB2312"/>
                <w:i w:val="0"/>
                <w:iCs w:val="0"/>
                <w:kern w:val="2"/>
                <w:sz w:val="21"/>
                <w:szCs w:val="21"/>
                <w:u w:val="none"/>
                <w:lang w:val="en-US" w:eastAsia="zh-CN" w:bidi="ar"/>
              </w:rPr>
              <w:t>9584</w:t>
            </w:r>
            <w:r>
              <w:rPr>
                <w:rFonts w:hint="eastAsia" w:ascii="仿宋_GB2312" w:hAnsi="仿宋_GB2312" w:eastAsia="仿宋_GB2312" w:cs="仿宋_GB2312"/>
                <w:i w:val="0"/>
                <w:iCs w:val="0"/>
                <w:kern w:val="2"/>
                <w:sz w:val="21"/>
                <w:szCs w:val="21"/>
                <w:u w:val="none"/>
                <w:lang w:val="en-US" w:eastAsia="zh-CN" w:bidi="ar"/>
              </w:rPr>
              <w:t>公顷；建设用地面积2.4936公顷；未利用地面积0.0352公顷。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基础设施条件：南临536乡道，西至海天大道。片区周边配备有泰和卫生站、白梅体育中心，周边规划建设有文化活动室和体育健身场所等设施等公共服务设施。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08</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文明路西片区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荷城街道长安社区</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0.7389</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0.9852</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w:t>
            </w:r>
            <w:r>
              <w:rPr>
                <w:rFonts w:hint="eastAsia" w:ascii="仿宋_GB2312" w:hAnsi="仿宋_GB2312" w:eastAsia="仿宋_GB2312" w:cs="仿宋_GB2312"/>
                <w:i w:val="0"/>
                <w:iCs w:val="0"/>
                <w:kern w:val="2"/>
                <w:sz w:val="21"/>
                <w:szCs w:val="21"/>
                <w:u w:val="none"/>
                <w:lang w:val="en-US" w:eastAsia="zh-CN" w:bidi="ar"/>
              </w:rPr>
              <w:t>建设用地</w:t>
            </w:r>
            <w:r>
              <w:rPr>
                <w:rFonts w:hint="eastAsia" w:ascii="仿宋_GB2312" w:hAnsi="仿宋_GB2312" w:eastAsia="仿宋_GB2312" w:cs="仿宋_GB2312"/>
                <w:i w:val="0"/>
                <w:iCs w:val="0"/>
                <w:kern w:val="2"/>
                <w:sz w:val="21"/>
                <w:szCs w:val="21"/>
                <w:u w:val="none"/>
                <w:lang w:val="en-US" w:eastAsia="zh-CN" w:bidi="ar"/>
              </w:rPr>
              <w:t>面积0.9852公顷。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临先河路，南至跃华路，东至文明路，西临荷香路。片区周边配备有高明区人民医院、高明区慢性病防治站、荷城敬老院、高明区社会福利院、星光幼儿园、荷城街道第三小学和荷城中心等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09</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七星岗公园西片区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荷城街道安泰社区、金华社区</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0.1760</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0.2301</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现状土地利用情况：农用地面积0.1777公顷；建设用地面积0.0524公顷。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基础设施条件：北临荷富路，南临高明大道，东临中山路。片区周边配备有沧江中心附属小学、沛明实验小学、文苑幼儿园、玉泉社区卫生服务站、高明区博物馆等公共服务设施。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10</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大德北路东片区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荷城街道上秀丽村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19.0271</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23.3620</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现状土地利用情况：农用地面积22.5704公顷；建设用地面积0.5869公顷；未利用地面积0.2047公顷。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基础设施条件：西临大德北路，东临汇智路。周边配套有社会停车场、邻里中心、公厕、垃圾收集站、老年人活动中心等公用配套设施，公用设施程度较高。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11</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汇智路片区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荷城街道上秀丽村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4.0317</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5.3391</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现状土地利用情况：农用地面积5.2295公顷；建设用地面积0.1096公顷。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东临凤凰路，北临汇智路。片区周边配套有社会停车场、中小学、公厕、公交首末站、幼儿园、垃圾收集站、肉菜市场、泰和围郊野公园、老年人活动中心、综合医院、社区居委会、社区卫生服务站等公用配套设施能有效服务片区内的发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12</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丽景东路南片区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荷城街道罗西村、上秀丽村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1.7459</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2.9098</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kern w:val="2"/>
                <w:sz w:val="21"/>
                <w:szCs w:val="21"/>
                <w:u w:val="none"/>
                <w:lang w:val="en-US" w:eastAsia="zh-CN" w:bidi="ar"/>
              </w:rPr>
            </w:pPr>
            <w:r>
              <w:rPr>
                <w:rFonts w:hint="eastAsia" w:ascii="仿宋_GB2312" w:hAnsi="仿宋_GB2312" w:eastAsia="仿宋_GB2312" w:cs="仿宋_GB2312"/>
                <w:i w:val="0"/>
                <w:iCs w:val="0"/>
                <w:kern w:val="2"/>
                <w:sz w:val="21"/>
                <w:szCs w:val="21"/>
                <w:u w:val="none"/>
                <w:lang w:val="en-US" w:eastAsia="zh-CN" w:bidi="ar"/>
              </w:rPr>
              <w:t>现状土地利用情况：农用地面积2.909</w:t>
            </w:r>
            <w:r>
              <w:rPr>
                <w:rFonts w:hint="eastAsia" w:ascii="仿宋_GB2312" w:hAnsi="仿宋_GB2312" w:eastAsia="仿宋_GB2312" w:cs="仿宋_GB2312"/>
                <w:i w:val="0"/>
                <w:iCs w:val="0"/>
                <w:kern w:val="2"/>
                <w:sz w:val="21"/>
                <w:szCs w:val="21"/>
                <w:u w:val="none"/>
                <w:lang w:val="en-US" w:eastAsia="zh-CN" w:bidi="ar"/>
              </w:rPr>
              <w:t>8</w:t>
            </w:r>
            <w:r>
              <w:rPr>
                <w:rFonts w:hint="eastAsia" w:ascii="仿宋_GB2312" w:hAnsi="仿宋_GB2312" w:eastAsia="仿宋_GB2312" w:cs="仿宋_GB2312"/>
                <w:i w:val="0"/>
                <w:iCs w:val="0"/>
                <w:kern w:val="2"/>
                <w:sz w:val="21"/>
                <w:szCs w:val="21"/>
                <w:u w:val="none"/>
                <w:lang w:val="en-US" w:eastAsia="zh-CN" w:bidi="ar"/>
              </w:rPr>
              <w:t>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基础设施条件：北临丽景东路，西临大德北路，东至明湖北路。</w:t>
            </w:r>
          </w:p>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基础设施条件：片区周边配套有社会停车场、小学、初级中学、公厕、公交首末站、综合文化活动中心、垃圾收集站、明湖公园等，配套设施较为齐全，能有效服务于片区内部及周边居住区及村庄建设区的发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13</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和辉路南片区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荷城街道尼教村、仙村村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2.3680</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3.2628</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现状土地利用情况：农用地面积2.5519 公顷；建设用地面积0.0260公顷；未利用地面积0.6849公顷。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临和辉路，南临三喜路，东临海天大道。片区周边配套有社会停车场、小学、初级中学、公厕、公交首末站、综合文化活动中心、垃圾收集站、明湖公园等，配套设施较为齐全，能有效服务于片区内部及周边居住区及村庄建设区的发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14</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三康路北片区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荷城街道尼教村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3.7072</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4.7559</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现状土地利用情况：农用地面积2.8387公顷；建设用地面积0.9730公顷；未利用地面积0.9442公顷。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基础设施条件：西至海天大道。片区周边配套杨和公园、公交停靠站等，公用设施覆盖率较高。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15</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杨西大道北一片区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杨和镇豸岗村、圆岗村、岗水村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11.5490</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17.6059</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现状土地利用情况：农用地面积16.4884公顷；建设用地面积0.2441公顷；未利用地面积0.8734公顷。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基础设施条件：西临西江大道，南临杨西大道，北临和悦北路。周边配套杨和广场公园、公交停靠站、警企联防点、小明星幼儿园等，公用设施覆盖率较高。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16</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杨西大道北二片区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杨和镇豸岗村、圆岗村、岗水村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17.9775</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29.9616</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现状土地利用情况：农用地面积19.4094公顷；建设用地面积9.6181公顷；未利用地面积0.9341公顷。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基础设施条件：南临杨西大道，东临纵五路，北临西江大道。片区周边配备杨和公园、加油加气站、公交停靠站、豸岗村党群服务站等公用配套设施，基础设施完善。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17</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三和路南片区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杨和镇圆岗村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3.3828</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5.6380</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现状土地利用情况：建设用地面积5.6380公顷。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至三和路，南至和丽路，西临和泰路，东临和意路。片区周边配备杨和广场公园、杨和镇政府、杨和镇中心小学、通信基站、杨和客运站、圆岗卫生站、圆岗文化室、广东电网充电站、市场等公服设施，公共服务设施覆盖率较好，能有效服务片区及周边区域商业区、居住区及工业区的发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lang w:val="en-US"/>
              </w:rPr>
            </w:pPr>
            <w:r>
              <w:rPr>
                <w:rFonts w:hint="eastAsia" w:ascii="仿宋_GB2312" w:hAnsi="仿宋_GB2312" w:eastAsia="仿宋_GB2312" w:cs="仿宋_GB2312"/>
                <w:i w:val="0"/>
                <w:iCs w:val="0"/>
                <w:kern w:val="2"/>
                <w:sz w:val="21"/>
                <w:szCs w:val="21"/>
                <w:u w:val="none"/>
                <w:lang w:val="en-US" w:eastAsia="zh-CN" w:bidi="ar"/>
              </w:rPr>
              <w:t>18</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明七路南片区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杨和镇对川村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0.5144</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0.6351</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现状土地利用情况：农用地面积0.2647公顷；建设用地面积0.3704公顷。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基础设施条件：北临明七路，南临和彩路，东临合和大道。周边配备鹿鸣湖公园、加油加气站、公交停靠站、交通局地方公路养护中心、垃圾收集站等公服设施能有效服务片区内的发展建设。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lang w:val="en-US"/>
              </w:rPr>
            </w:pPr>
            <w:r>
              <w:rPr>
                <w:rFonts w:hint="eastAsia" w:ascii="仿宋_GB2312" w:hAnsi="仿宋_GB2312" w:eastAsia="仿宋_GB2312" w:cs="仿宋_GB2312"/>
                <w:i w:val="0"/>
                <w:iCs w:val="0"/>
                <w:kern w:val="2"/>
                <w:sz w:val="21"/>
                <w:szCs w:val="21"/>
                <w:u w:val="none"/>
                <w:lang w:val="en-US" w:eastAsia="zh-CN" w:bidi="ar"/>
              </w:rPr>
              <w:t>19</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对川工业大道北片区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杨和镇对川村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4.0922</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6.8203</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现状土地利用情况：农用地面积5.1472公顷；建设用地面积0.9088公顷；未利用地面积0.7643公顷。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基础设施条件：北临高明大道，南临对川工业大道，西临合和大道。片区周边配套鹿鸣湖公园、公交停靠站、通信基站、加油加气站、中国邮政银行和农商银行等公服设施，基础设施较为完善。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20</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杨西大道西片区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杨和镇清泰村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1.9716</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3.2860</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现状土地利用情况：农用地面积1.1912公顷；建设用地面积1.3172公顷；未利用地面积0.7776公顷。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基础设施条件：东临杨西大道南。片区周边配备兴良公园、加油加气站、公交停靠站等公服设施，公用设施覆盖率较高。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21</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横二路南片区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杨和镇河西社区、清泰村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15.8658</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26.4309</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现状土地利用情况：农用地面积13.1840公顷；建设用地面积6.6985公顷；未利用地面积6.5484公顷。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基础设施条件：北临横二路，南临横四路，西临杨西大道，东临河二路。片区周边配备杨梅公园、医院、加油加气站、公交停靠站等公服设施，公用设施程度较高。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22</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石竹路北片区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杨和镇河东社区</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3.2428</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4.87</w:t>
            </w:r>
            <w:r>
              <w:rPr>
                <w:rFonts w:hint="eastAsia" w:ascii="仿宋_GB2312" w:hAnsi="仿宋_GB2312" w:eastAsia="仿宋_GB2312" w:cs="仿宋_GB2312"/>
                <w:i w:val="0"/>
                <w:iCs w:val="0"/>
                <w:kern w:val="2"/>
                <w:sz w:val="21"/>
                <w:szCs w:val="21"/>
                <w:u w:val="none"/>
                <w:lang w:val="en-US" w:eastAsia="zh-CN" w:bidi="ar"/>
              </w:rPr>
              <w:t>2</w:t>
            </w:r>
            <w:r>
              <w:rPr>
                <w:rFonts w:hint="eastAsia" w:ascii="仿宋_GB2312" w:hAnsi="仿宋_GB2312" w:eastAsia="仿宋_GB2312" w:cs="仿宋_GB2312"/>
                <w:i w:val="0"/>
                <w:iCs w:val="0"/>
                <w:kern w:val="2"/>
                <w:sz w:val="21"/>
                <w:szCs w:val="21"/>
                <w:u w:val="none"/>
                <w:lang w:val="en-US" w:eastAsia="zh-CN" w:bidi="ar"/>
              </w:rPr>
              <w:t>0</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现状土地利用情况：农用地面积2.2344公顷；建设用地面积1.5235公顷；未利用地面积1.1141公顷。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临迎春路，南临石竹路，西至河东路。片区周边配套杨和中心幼儿园、杨梅公园、加油加气站、医院、停车场、通信基站等公服设施，配套设施较为齐全，能有效服务于片区内部及周边居住区及村庄建设区的发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23</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九江酒厂片区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杨和镇河西社区、沙水村、石水村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23.5571</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39.2620</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现状土地利用情况：农用地面积29.5</w:t>
            </w:r>
            <w:r>
              <w:rPr>
                <w:rFonts w:hint="eastAsia" w:ascii="仿宋_GB2312" w:hAnsi="仿宋_GB2312" w:eastAsia="仿宋_GB2312" w:cs="仿宋_GB2312"/>
                <w:i w:val="0"/>
                <w:iCs w:val="0"/>
                <w:kern w:val="2"/>
                <w:sz w:val="21"/>
                <w:szCs w:val="21"/>
                <w:u w:val="none"/>
                <w:lang w:val="en-US" w:eastAsia="zh-CN" w:bidi="ar"/>
              </w:rPr>
              <w:t>109</w:t>
            </w:r>
            <w:r>
              <w:rPr>
                <w:rFonts w:hint="eastAsia" w:ascii="仿宋_GB2312" w:hAnsi="仿宋_GB2312" w:eastAsia="仿宋_GB2312" w:cs="仿宋_GB2312"/>
                <w:i w:val="0"/>
                <w:iCs w:val="0"/>
                <w:kern w:val="2"/>
                <w:sz w:val="21"/>
                <w:szCs w:val="21"/>
                <w:u w:val="none"/>
                <w:lang w:val="en-US" w:eastAsia="zh-CN" w:bidi="ar"/>
              </w:rPr>
              <w:t>公顷；建设用地面积8.2</w:t>
            </w:r>
            <w:r>
              <w:rPr>
                <w:rFonts w:hint="eastAsia" w:ascii="仿宋_GB2312" w:hAnsi="仿宋_GB2312" w:eastAsia="仿宋_GB2312" w:cs="仿宋_GB2312"/>
                <w:i w:val="0"/>
                <w:iCs w:val="0"/>
                <w:kern w:val="2"/>
                <w:sz w:val="21"/>
                <w:szCs w:val="21"/>
                <w:u w:val="none"/>
                <w:lang w:val="en-US" w:eastAsia="zh-CN" w:bidi="ar"/>
              </w:rPr>
              <w:t>191</w:t>
            </w:r>
            <w:r>
              <w:rPr>
                <w:rFonts w:hint="eastAsia" w:ascii="仿宋_GB2312" w:hAnsi="仿宋_GB2312" w:eastAsia="仿宋_GB2312" w:cs="仿宋_GB2312"/>
                <w:i w:val="0"/>
                <w:iCs w:val="0"/>
                <w:kern w:val="2"/>
                <w:sz w:val="21"/>
                <w:szCs w:val="21"/>
                <w:u w:val="none"/>
                <w:lang w:val="en-US" w:eastAsia="zh-CN" w:bidi="ar"/>
              </w:rPr>
              <w:t>公顷；未利用地面积1.532</w:t>
            </w:r>
            <w:r>
              <w:rPr>
                <w:rFonts w:hint="eastAsia" w:ascii="仿宋_GB2312" w:hAnsi="仿宋_GB2312" w:eastAsia="仿宋_GB2312" w:cs="仿宋_GB2312"/>
                <w:i w:val="0"/>
                <w:iCs w:val="0"/>
                <w:kern w:val="2"/>
                <w:sz w:val="21"/>
                <w:szCs w:val="21"/>
                <w:u w:val="none"/>
                <w:lang w:val="en-US" w:eastAsia="zh-CN" w:bidi="ar"/>
              </w:rPr>
              <w:t>0</w:t>
            </w:r>
            <w:r>
              <w:rPr>
                <w:rFonts w:hint="eastAsia" w:ascii="仿宋_GB2312" w:hAnsi="仿宋_GB2312" w:eastAsia="仿宋_GB2312" w:cs="仿宋_GB2312"/>
                <w:i w:val="0"/>
                <w:iCs w:val="0"/>
                <w:kern w:val="2"/>
                <w:sz w:val="21"/>
                <w:szCs w:val="21"/>
                <w:u w:val="none"/>
                <w:lang w:val="en-US" w:eastAsia="zh-CN" w:bidi="ar"/>
              </w:rPr>
              <w:t>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基础设施条件：片区周边配备鹰塘森林公园、公交停靠站、社区卫生服务站等公服设施，基础设施较为完善。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24</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仙峰路东片区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明城镇潭朗村、明东村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4.9498</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8.2490</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现状土地利用情况：农用地面积5.0644公顷；建设用地面积2.9215公顷；未利用地面积0.2631公顷。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基础设施条件：西临仙峰路。片区附近有明城郁金香公园、银行网点等公服设施，公服设施需进一步完善。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25</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仙峰路北片区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明城镇潭朗村、明东村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0.3631</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0.3631</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现状土地利用情况：农用地面积0.1625公顷；建设用地面积0.0201公顷；未利用地面积0.1805公顷。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基础设施条件：南临仙峰路。片区周边公服设施有公共厕所，垃圾收集站等，公服设施较少，需进一步完善。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26</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城七路片区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明城镇明东村</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9.9642</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16.6057</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现状土地利用情况：农用地面积11.0310公顷；建设用地面积4.5688公顷；未利用地面积1.0059公顷。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基础设施条件：北临仙峰路，西临广台高速公路，东临云岗路。片区周边配套有变动站、公共厕所、垃圾收集站等，公服设施较少，需进一步完善。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361"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lang w:val="en-US"/>
              </w:rPr>
            </w:pPr>
            <w:r>
              <w:rPr>
                <w:rFonts w:hint="eastAsia" w:ascii="仿宋_GB2312" w:hAnsi="仿宋_GB2312" w:eastAsia="仿宋_GB2312" w:cs="仿宋_GB2312"/>
                <w:i w:val="0"/>
                <w:iCs w:val="0"/>
                <w:kern w:val="2"/>
                <w:sz w:val="21"/>
                <w:szCs w:val="21"/>
                <w:u w:val="none"/>
                <w:lang w:val="en-US" w:eastAsia="zh-CN" w:bidi="ar"/>
              </w:rPr>
              <w:t>27</w:t>
            </w:r>
          </w:p>
        </w:tc>
        <w:tc>
          <w:tcPr>
            <w:tcW w:w="56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小洞工业园片区</w:t>
            </w:r>
          </w:p>
        </w:tc>
        <w:tc>
          <w:tcPr>
            <w:tcW w:w="504"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更合镇小洞村、更楼社区</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56.7152</w:t>
            </w:r>
          </w:p>
        </w:tc>
        <w:tc>
          <w:tcPr>
            <w:tcW w:w="1422" w:type="dxa"/>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80.9204</w:t>
            </w:r>
          </w:p>
        </w:tc>
        <w:tc>
          <w:tcPr>
            <w:tcW w:w="2570" w:type="pct"/>
            <w:shd w:val="clear" w:color="auto" w:fill="auto"/>
            <w:vAlign w:val="center"/>
          </w:tcPr>
          <w:p>
            <w:pPr>
              <w:keepNext w:val="0"/>
              <w:keepLines w:val="0"/>
              <w:widowControl/>
              <w:suppressLineNumbers w:val="0"/>
              <w:spacing w:line="240" w:lineRule="auto"/>
              <w:ind w:firstLine="0" w:firstLineChars="0"/>
              <w:jc w:val="left"/>
              <w:textAlignment w:val="auto"/>
              <w:rPr>
                <w:rFonts w:hint="eastAsia" w:ascii="仿宋_GB2312" w:hAnsi="仿宋_GB2312" w:eastAsia="仿宋_GB2312" w:cs="仿宋_GB2312"/>
                <w:i w:val="0"/>
                <w:iCs w:val="0"/>
                <w:sz w:val="21"/>
                <w:szCs w:val="21"/>
                <w:u w:val="none"/>
              </w:rPr>
            </w:pPr>
            <w:r>
              <w:rPr>
                <w:rFonts w:hint="eastAsia" w:ascii="仿宋_GB2312" w:hAnsi="仿宋_GB2312" w:eastAsia="仿宋_GB2312" w:cs="仿宋_GB2312"/>
                <w:i w:val="0"/>
                <w:iCs w:val="0"/>
                <w:kern w:val="2"/>
                <w:sz w:val="21"/>
                <w:szCs w:val="21"/>
                <w:u w:val="none"/>
                <w:lang w:val="en-US" w:eastAsia="zh-CN" w:bidi="ar"/>
              </w:rPr>
              <w:t>现状土地利用情况：农用地面积60.8964公顷；建设用地面积16.3635公顷；未利用地面积3.6605公顷。</w:t>
            </w:r>
            <w:r>
              <w:rPr>
                <w:rFonts w:hint="eastAsia" w:ascii="仿宋_GB2312" w:hAnsi="仿宋_GB2312" w:eastAsia="仿宋_GB2312" w:cs="仿宋_GB2312"/>
                <w:i w:val="0"/>
                <w:iCs w:val="0"/>
                <w:kern w:val="2"/>
                <w:sz w:val="21"/>
                <w:szCs w:val="21"/>
                <w:u w:val="none"/>
                <w:lang w:val="en-US" w:eastAsia="zh-CN" w:bidi="ar"/>
              </w:rPr>
              <w:br w:type="textWrapping"/>
            </w:r>
            <w:r>
              <w:rPr>
                <w:rFonts w:hint="eastAsia" w:ascii="仿宋_GB2312" w:hAnsi="仿宋_GB2312" w:eastAsia="仿宋_GB2312" w:cs="仿宋_GB2312"/>
                <w:i w:val="0"/>
                <w:iCs w:val="0"/>
                <w:kern w:val="2"/>
                <w:sz w:val="21"/>
                <w:szCs w:val="21"/>
                <w:u w:val="none"/>
                <w:lang w:val="en-US" w:eastAsia="zh-CN" w:bidi="ar"/>
              </w:rPr>
              <w:t>基础设施条件：东延合和大道。片区内及周边规划有体育建设场地、文化活动室、公共停车场、公交停靠站、社区卫生服务站等基础设施，可满足园区内居民日常生活的需求。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jc w:val="center"/>
        </w:trPr>
        <w:tc>
          <w:tcPr>
            <w:tcW w:w="1425" w:type="pct"/>
            <w:gridSpan w:val="3"/>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kern w:val="2"/>
                <w:sz w:val="21"/>
                <w:szCs w:val="21"/>
                <w:u w:val="none"/>
                <w:lang w:val="en-US" w:eastAsia="zh-CN" w:bidi="ar"/>
              </w:rPr>
            </w:pPr>
            <w:r>
              <w:rPr>
                <w:rFonts w:hint="eastAsia" w:ascii="仿宋_GB2312" w:hAnsi="仿宋_GB2312" w:eastAsia="仿宋_GB2312" w:cs="仿宋_GB2312"/>
                <w:i w:val="0"/>
                <w:iCs w:val="0"/>
                <w:kern w:val="2"/>
                <w:sz w:val="21"/>
                <w:szCs w:val="21"/>
                <w:u w:val="none"/>
                <w:lang w:val="en-US" w:eastAsia="zh-CN" w:bidi="ar"/>
              </w:rPr>
              <w:t>合计</w:t>
            </w:r>
          </w:p>
        </w:tc>
        <w:tc>
          <w:tcPr>
            <w:tcW w:w="502"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kern w:val="2"/>
                <w:sz w:val="21"/>
                <w:szCs w:val="21"/>
                <w:u w:val="none"/>
                <w:lang w:val="en-US" w:eastAsia="zh-CN" w:bidi="ar"/>
              </w:rPr>
            </w:pPr>
            <w:r>
              <w:rPr>
                <w:rFonts w:hint="eastAsia" w:ascii="仿宋_GB2312" w:hAnsi="仿宋_GB2312" w:eastAsia="仿宋_GB2312" w:cs="仿宋_GB2312"/>
                <w:i w:val="0"/>
                <w:iCs w:val="0"/>
                <w:kern w:val="2"/>
                <w:sz w:val="21"/>
                <w:szCs w:val="21"/>
                <w:u w:val="none"/>
                <w:lang w:val="en-US" w:eastAsia="zh-CN" w:bidi="ar"/>
              </w:rPr>
              <w:t>257.8326</w:t>
            </w:r>
          </w:p>
        </w:tc>
        <w:tc>
          <w:tcPr>
            <w:tcW w:w="502"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kern w:val="2"/>
                <w:sz w:val="21"/>
                <w:szCs w:val="21"/>
                <w:u w:val="none"/>
                <w:lang w:val="en-US" w:eastAsia="zh-CN" w:bidi="ar"/>
              </w:rPr>
            </w:pPr>
            <w:r>
              <w:rPr>
                <w:rFonts w:hint="eastAsia" w:ascii="仿宋_GB2312" w:hAnsi="仿宋_GB2312" w:eastAsia="仿宋_GB2312" w:cs="仿宋_GB2312"/>
                <w:i w:val="0"/>
                <w:iCs w:val="0"/>
                <w:kern w:val="2"/>
                <w:sz w:val="21"/>
                <w:szCs w:val="21"/>
                <w:u w:val="none"/>
                <w:lang w:val="en-US" w:eastAsia="zh-CN" w:bidi="ar"/>
              </w:rPr>
              <w:t>393.5123</w:t>
            </w:r>
          </w:p>
        </w:tc>
        <w:tc>
          <w:tcPr>
            <w:tcW w:w="2570" w:type="pct"/>
            <w:shd w:val="clear" w:color="auto" w:fill="auto"/>
            <w:vAlign w:val="center"/>
          </w:tcPr>
          <w:p>
            <w:pPr>
              <w:keepNext w:val="0"/>
              <w:keepLines w:val="0"/>
              <w:widowControl/>
              <w:suppressLineNumbers w:val="0"/>
              <w:spacing w:line="240" w:lineRule="auto"/>
              <w:ind w:firstLine="0" w:firstLineChars="0"/>
              <w:jc w:val="center"/>
              <w:textAlignment w:val="auto"/>
              <w:rPr>
                <w:rFonts w:hint="eastAsia" w:ascii="仿宋_GB2312" w:hAnsi="仿宋_GB2312" w:eastAsia="仿宋_GB2312" w:cs="仿宋_GB2312"/>
                <w:i w:val="0"/>
                <w:iCs w:val="0"/>
                <w:kern w:val="2"/>
                <w:sz w:val="21"/>
                <w:szCs w:val="21"/>
                <w:u w:val="none"/>
                <w:lang w:val="en-US" w:eastAsia="zh-CN" w:bidi="ar"/>
              </w:rPr>
            </w:pPr>
          </w:p>
        </w:tc>
      </w:tr>
    </w:tbl>
    <w:p>
      <w:pPr>
        <w:rPr>
          <w:rFonts w:hint="default"/>
          <w:lang w:val="en-US" w:eastAsia="zh-CN"/>
        </w:rPr>
        <w:sectPr>
          <w:pgSz w:w="16838" w:h="11906" w:orient="landscape"/>
          <w:pgMar w:top="1797" w:right="1440" w:bottom="1797" w:left="1440" w:header="851" w:footer="992" w:gutter="0"/>
          <w:pgNumType w:fmt="decimal"/>
          <w:cols w:space="0" w:num="1"/>
          <w:rtlGutter w:val="0"/>
          <w:docGrid w:type="lines" w:linePitch="395" w:charSpace="0"/>
        </w:sectPr>
      </w:pPr>
    </w:p>
    <w:p>
      <w:pPr>
        <w:pStyle w:val="9"/>
        <w:spacing w:before="120" w:after="120" w:line="360" w:lineRule="auto"/>
        <w:ind w:firstLine="0" w:firstLineChars="0"/>
        <w:outlineLvl w:val="0"/>
        <w:rPr>
          <w:rFonts w:hint="default" w:ascii="黑体" w:hAnsi="黑体" w:eastAsia="黑体" w:cs="黑体"/>
          <w:sz w:val="36"/>
          <w:szCs w:val="36"/>
          <w:lang w:val="en-US" w:eastAsia="zh-CN"/>
        </w:rPr>
      </w:pPr>
      <w:bookmarkStart w:id="2" w:name="_Toc22450"/>
      <w:r>
        <w:rPr>
          <w:rFonts w:hint="eastAsia" w:ascii="黑体" w:hAnsi="黑体" w:eastAsia="黑体" w:cs="黑体"/>
          <w:sz w:val="36"/>
          <w:szCs w:val="36"/>
          <w:lang w:val="en-US" w:eastAsia="zh-CN"/>
        </w:rPr>
        <w:t>四</w:t>
      </w:r>
      <w:r>
        <w:rPr>
          <w:rFonts w:hint="eastAsia" w:ascii="黑体" w:hAnsi="黑体" w:eastAsia="黑体" w:cs="黑体"/>
          <w:sz w:val="36"/>
          <w:szCs w:val="36"/>
        </w:rPr>
        <w:t>、</w:t>
      </w:r>
      <w:r>
        <w:rPr>
          <w:rFonts w:hint="eastAsia" w:ascii="黑体" w:hAnsi="黑体" w:eastAsia="黑体" w:cs="黑体"/>
          <w:sz w:val="36"/>
          <w:szCs w:val="36"/>
          <w:lang w:val="en-US" w:eastAsia="zh-CN"/>
        </w:rPr>
        <w:t>成片开发的必要性</w:t>
      </w:r>
      <w:bookmarkEnd w:id="2"/>
    </w:p>
    <w:p>
      <w:pPr>
        <w:pStyle w:val="4"/>
        <w:numPr>
          <w:ilvl w:val="0"/>
          <w:numId w:val="5"/>
        </w:numPr>
        <w:spacing w:before="120" w:after="120"/>
        <w:ind w:left="703" w:hanging="420"/>
        <w:rPr>
          <w:sz w:val="32"/>
        </w:rPr>
      </w:pPr>
      <w:r>
        <w:rPr>
          <w:rFonts w:hint="eastAsia"/>
          <w:sz w:val="32"/>
          <w:lang w:val="en-US" w:eastAsia="zh-CN"/>
        </w:rPr>
        <w:t>优化城市空间格局</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高明正以“一圈两带三园区”的城镇新格局，对其境内发展格局重新进行战略布局。各镇街各司其职，起好步开好局，为打造高质量发展格局。在工业空间方面，荷城街道将强化产业整体布局，全力打开城市发展的新空间；杨和镇大力实施高质量工业立镇工程，有效助推形成更大规模先进制造集聚；明城镇将重点建设盈富产业园，不断优化产业格局；更合镇将结合临空产业新城谋划建设。在生活空间方面，完善城市公共服务设施，优化其与居住空间的耦合协调。在商业空间方面，高明区坚持围绕“一心两大商圈、三大特色商旅区、五大商贸物流基地”的总体格局，特色鲜明的商业空间格局。</w:t>
      </w:r>
    </w:p>
    <w:p>
      <w:pPr>
        <w:pStyle w:val="4"/>
        <w:numPr>
          <w:ilvl w:val="0"/>
          <w:numId w:val="5"/>
        </w:numPr>
        <w:spacing w:before="120" w:after="120"/>
        <w:ind w:left="703" w:hanging="420"/>
        <w:rPr>
          <w:sz w:val="32"/>
        </w:rPr>
      </w:pPr>
      <w:r>
        <w:rPr>
          <w:rFonts w:hint="eastAsia"/>
          <w:sz w:val="32"/>
          <w:lang w:val="en-US" w:eastAsia="zh-CN"/>
        </w:rPr>
        <w:t>促进重点项目落地，加快建设现代产业园区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明区十四五规划》中提出要结合大湾区建成世界新兴产业、先进制造业和现代服务业基地的战略定位，打造“2+3+1”先进制造业集群，深入实施数字经济发展战略，构建更具竞争力的现代产业体系。新材料产业、先进装备制造产业和新能源汽车及零配件产业作为高明区主导产业，对于带动高明区发展有重大作用。优化土地资源配置和空间布局，优先保证关键产业项目落地、重大发展平台开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pStyle w:val="4"/>
        <w:numPr>
          <w:ilvl w:val="0"/>
          <w:numId w:val="5"/>
        </w:numPr>
        <w:spacing w:before="120" w:after="120"/>
        <w:ind w:left="703" w:hanging="420"/>
        <w:rPr>
          <w:sz w:val="32"/>
        </w:rPr>
      </w:pPr>
      <w:r>
        <w:rPr>
          <w:rFonts w:hint="eastAsia" w:ascii="Times New Roman" w:hAnsi="Times New Roman" w:cs="Times New Roman"/>
          <w:b/>
          <w:bCs/>
          <w:sz w:val="32"/>
          <w:szCs w:val="32"/>
          <w:lang w:val="en-US" w:eastAsia="zh-CN"/>
        </w:rPr>
        <w:t>推动</w:t>
      </w:r>
      <w:r>
        <w:rPr>
          <w:rFonts w:hint="eastAsia" w:ascii="Times New Roman" w:hAnsi="Times New Roman" w:cs="Times New Roman"/>
          <w:b/>
          <w:bCs/>
          <w:sz w:val="32"/>
          <w:szCs w:val="32"/>
          <w:lang w:val="en-US" w:eastAsia="zh-CN"/>
        </w:rPr>
        <w:t>建设现代化高品质城市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明区十四五规划》提出“坚持促消费、扩内需，全面促进消费升级提质，大力打造城市消费新载体和集聚区”和“坚持用经营理念发展城市、绣花功夫管理城市，全面提升城市承载力和形象品质，让城市更富魅力、更加宜居”。片区拟安排商业开发项目，对于促进消费升级提质，全面提升城市商业消费环境，打造品质生活之城。</w:t>
      </w:r>
    </w:p>
    <w:p>
      <w:pPr>
        <w:widowControl/>
        <w:spacing w:line="560" w:lineRule="exact"/>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同时，</w:t>
      </w:r>
      <w:r>
        <w:rPr>
          <w:rFonts w:hint="eastAsia" w:ascii="仿宋_GB2312" w:hAnsi="仿宋_GB2312" w:eastAsia="仿宋_GB2312" w:cs="仿宋_GB2312"/>
          <w:sz w:val="32"/>
          <w:szCs w:val="32"/>
          <w:lang w:val="en-US" w:eastAsia="zh-CN"/>
        </w:rPr>
        <w:t>成片开发</w:t>
      </w:r>
      <w:r>
        <w:rPr>
          <w:rFonts w:hint="eastAsia" w:ascii="仿宋_GB2312" w:hAnsi="仿宋_GB2312" w:eastAsia="仿宋_GB2312" w:cs="仿宋_GB2312"/>
          <w:b w:val="0"/>
          <w:bCs w:val="0"/>
          <w:sz w:val="32"/>
          <w:szCs w:val="32"/>
          <w:lang w:val="en-US" w:eastAsia="zh-CN"/>
        </w:rPr>
        <w:t>片区通过全面参与粤港澳大湾区宜居宜业宜游优质生活圈建设，未来落地住宅开发及配套设施项目，保障民生基本生活水平，助力全区打造公共服务全面、保障体系健全、社会治理能力现代化的优质生活典范。</w:t>
      </w:r>
    </w:p>
    <w:p>
      <w:pPr>
        <w:pStyle w:val="4"/>
        <w:numPr>
          <w:ilvl w:val="0"/>
          <w:numId w:val="5"/>
        </w:numPr>
        <w:spacing w:before="120" w:after="120"/>
        <w:ind w:left="703" w:hanging="420"/>
        <w:rPr>
          <w:sz w:val="32"/>
        </w:rPr>
      </w:pPr>
      <w:r>
        <w:rPr>
          <w:rFonts w:hint="eastAsia" w:ascii="Times New Roman" w:hAnsi="Times New Roman" w:cs="Times New Roman"/>
          <w:b/>
          <w:bCs/>
          <w:sz w:val="32"/>
          <w:szCs w:val="32"/>
          <w:lang w:val="en-US" w:eastAsia="zh-CN"/>
        </w:rPr>
        <w:t>保障农民集体权益的需要</w:t>
      </w:r>
    </w:p>
    <w:p>
      <w:pPr>
        <w:pStyle w:val="2"/>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2"/>
          <w:sz w:val="32"/>
          <w:szCs w:val="32"/>
          <w:lang w:val="en-US" w:eastAsia="zh-CN" w:bidi="ar-SA"/>
        </w:rPr>
        <w:t>根据《中华人民共和国土地管理法》（2019年修正）第四十五条，“确需征收农民集体所有的土地的，可以依法实施征收：（五）在土地利用总体规划确定的城镇建设用地范围内，经省级以上人民政府批准由县级以上地方人民政府组织实施的成片开发建设需要用地的”。因此，于2020年后开展土地征收工作的地块需要划定土地征收成片开发范围，落实相关村社集体发展需求，切实保障被征地农民的合法权益。</w:t>
      </w:r>
    </w:p>
    <w:p>
      <w:pPr>
        <w:pStyle w:val="9"/>
        <w:spacing w:before="120" w:after="120" w:line="360" w:lineRule="auto"/>
        <w:ind w:firstLine="0" w:firstLineChars="0"/>
        <w:outlineLvl w:val="0"/>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五</w:t>
      </w:r>
      <w:r>
        <w:rPr>
          <w:rFonts w:hint="eastAsia" w:ascii="黑体" w:hAnsi="黑体" w:eastAsia="黑体" w:cs="黑体"/>
          <w:sz w:val="36"/>
          <w:szCs w:val="36"/>
        </w:rPr>
        <w:t>、</w:t>
      </w:r>
      <w:r>
        <w:rPr>
          <w:rFonts w:hint="eastAsia" w:ascii="黑体" w:hAnsi="黑体" w:eastAsia="黑体" w:cs="黑体"/>
          <w:sz w:val="36"/>
          <w:szCs w:val="36"/>
          <w:lang w:val="en-US" w:eastAsia="zh-CN"/>
        </w:rPr>
        <w:t>公益性用地占比情况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本方案内各片区内公益性用地占比均符合《自然资源部关于印发&lt;土地征收成片开发标准（试行）&gt;的通知》（自然资规〔2020〕5号）公益性用地占比一般不低于40%的</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w:t>
      </w:r>
    </w:p>
    <w:p>
      <w:pPr>
        <w:pStyle w:val="9"/>
        <w:spacing w:line="360" w:lineRule="auto"/>
        <w:ind w:firstLine="482"/>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表5-1 成片开发片区公益性用地比例情况汇总表</w:t>
      </w:r>
    </w:p>
    <w:tbl>
      <w:tblPr>
        <w:tblStyle w:val="17"/>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80"/>
        <w:gridCol w:w="2332"/>
        <w:gridCol w:w="1504"/>
        <w:gridCol w:w="19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blHeader/>
        </w:trPr>
        <w:tc>
          <w:tcPr>
            <w:tcW w:w="633"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b/>
                <w:bCs/>
                <w:i w:val="0"/>
                <w:iCs w:val="0"/>
                <w:sz w:val="21"/>
                <w:szCs w:val="21"/>
                <w:u w:val="none"/>
                <w:lang w:bidi="ar"/>
              </w:rPr>
            </w:pPr>
            <w:r>
              <w:rPr>
                <w:rFonts w:hint="eastAsia" w:ascii="仿宋_GB2312" w:hAnsi="仿宋_GB2312" w:eastAsia="仿宋_GB2312" w:cs="仿宋_GB2312"/>
                <w:b/>
                <w:bCs/>
                <w:i w:val="0"/>
                <w:iCs w:val="0"/>
                <w:kern w:val="2"/>
                <w:sz w:val="21"/>
                <w:szCs w:val="21"/>
                <w:u w:val="none"/>
                <w:lang w:val="en-US" w:eastAsia="zh-CN" w:bidi="ar"/>
              </w:rPr>
              <w:t>序号</w:t>
            </w:r>
          </w:p>
        </w:tc>
        <w:tc>
          <w:tcPr>
            <w:tcW w:w="1366"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b/>
                <w:bCs/>
                <w:i w:val="0"/>
                <w:iCs w:val="0"/>
                <w:sz w:val="21"/>
                <w:szCs w:val="21"/>
                <w:u w:val="none"/>
                <w:lang w:bidi="ar"/>
              </w:rPr>
            </w:pPr>
            <w:r>
              <w:rPr>
                <w:rFonts w:hint="eastAsia" w:ascii="仿宋_GB2312" w:hAnsi="仿宋_GB2312" w:eastAsia="仿宋_GB2312" w:cs="仿宋_GB2312"/>
                <w:b/>
                <w:bCs/>
                <w:i w:val="0"/>
                <w:iCs w:val="0"/>
                <w:kern w:val="2"/>
                <w:sz w:val="21"/>
                <w:szCs w:val="21"/>
                <w:u w:val="none"/>
                <w:lang w:val="en-US" w:eastAsia="zh-CN" w:bidi="ar"/>
              </w:rPr>
              <w:t>片区名称</w:t>
            </w:r>
          </w:p>
        </w:tc>
        <w:tc>
          <w:tcPr>
            <w:tcW w:w="881"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b/>
                <w:bCs/>
                <w:i w:val="0"/>
                <w:iCs w:val="0"/>
                <w:sz w:val="21"/>
                <w:szCs w:val="21"/>
                <w:u w:val="none"/>
                <w:lang w:bidi="ar"/>
              </w:rPr>
            </w:pPr>
            <w:r>
              <w:rPr>
                <w:rFonts w:hint="eastAsia" w:ascii="仿宋_GB2312" w:hAnsi="仿宋_GB2312" w:eastAsia="仿宋_GB2312" w:cs="仿宋_GB2312"/>
                <w:b/>
                <w:bCs/>
                <w:i w:val="0"/>
                <w:iCs w:val="0"/>
                <w:kern w:val="2"/>
                <w:sz w:val="21"/>
                <w:szCs w:val="21"/>
                <w:u w:val="none"/>
                <w:lang w:val="en-US" w:eastAsia="zh-CN" w:bidi="ar"/>
              </w:rPr>
              <w:t>面积（公顷）</w:t>
            </w:r>
          </w:p>
        </w:tc>
        <w:tc>
          <w:tcPr>
            <w:tcW w:w="1118"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b/>
                <w:bCs/>
                <w:i w:val="0"/>
                <w:iCs w:val="0"/>
                <w:sz w:val="21"/>
                <w:szCs w:val="21"/>
                <w:u w:val="none"/>
                <w:lang w:bidi="ar"/>
              </w:rPr>
            </w:pPr>
            <w:r>
              <w:rPr>
                <w:rFonts w:hint="eastAsia" w:ascii="仿宋_GB2312" w:hAnsi="仿宋_GB2312" w:eastAsia="仿宋_GB2312" w:cs="仿宋_GB2312"/>
                <w:b/>
                <w:bCs/>
                <w:i w:val="0"/>
                <w:iCs w:val="0"/>
                <w:kern w:val="2"/>
                <w:sz w:val="21"/>
                <w:szCs w:val="21"/>
                <w:u w:val="none"/>
                <w:lang w:val="en-US" w:eastAsia="zh-CN" w:bidi="ar"/>
              </w:rPr>
              <w:t>公益性用地面积（公顷）</w:t>
            </w:r>
          </w:p>
        </w:tc>
        <w:tc>
          <w:tcPr>
            <w:tcW w:w="1000"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b/>
                <w:bCs/>
                <w:i w:val="0"/>
                <w:iCs w:val="0"/>
                <w:sz w:val="21"/>
                <w:szCs w:val="21"/>
                <w:u w:val="none"/>
                <w:lang w:bidi="ar"/>
              </w:rPr>
            </w:pPr>
            <w:r>
              <w:rPr>
                <w:rFonts w:hint="eastAsia" w:ascii="仿宋_GB2312" w:hAnsi="仿宋_GB2312" w:eastAsia="仿宋_GB2312" w:cs="仿宋_GB2312"/>
                <w:b/>
                <w:bCs/>
                <w:i w:val="0"/>
                <w:iCs w:val="0"/>
                <w:kern w:val="2"/>
                <w:sz w:val="21"/>
                <w:szCs w:val="21"/>
                <w:u w:val="none"/>
                <w:lang w:val="en-US" w:eastAsia="zh-CN" w:bidi="ar"/>
              </w:rPr>
              <w:t>公益性用地占比（%）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1</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荷富路东二片区</w:t>
            </w:r>
          </w:p>
        </w:tc>
        <w:tc>
          <w:tcPr>
            <w:tcW w:w="8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8.1634</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3.2676</w:t>
            </w:r>
          </w:p>
        </w:tc>
        <w:tc>
          <w:tcPr>
            <w:tcW w:w="1000"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2</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电力智造园片区</w:t>
            </w:r>
          </w:p>
        </w:tc>
        <w:tc>
          <w:tcPr>
            <w:tcW w:w="8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17.2069</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6.8819</w:t>
            </w:r>
          </w:p>
        </w:tc>
        <w:tc>
          <w:tcPr>
            <w:tcW w:w="1000"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3</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照明产业基地片区</w:t>
            </w:r>
          </w:p>
        </w:tc>
        <w:tc>
          <w:tcPr>
            <w:tcW w:w="8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14.5279</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i w:val="0"/>
                <w:iCs w:val="0"/>
                <w:sz w:val="21"/>
                <w:szCs w:val="21"/>
                <w:u w:val="none"/>
                <w:lang w:bidi="ar"/>
              </w:rPr>
            </w:pPr>
            <w:r>
              <w:rPr>
                <w:rFonts w:hint="eastAsia" w:ascii="仿宋_GB2312" w:hAnsi="仿宋_GB2312" w:eastAsia="仿宋_GB2312" w:cs="仿宋_GB2312"/>
                <w:b w:val="0"/>
                <w:bCs w:val="0"/>
                <w:i w:val="0"/>
                <w:iCs w:val="0"/>
                <w:sz w:val="21"/>
                <w:szCs w:val="21"/>
                <w:u w:val="none"/>
                <w:lang w:bidi="ar"/>
              </w:rPr>
              <w:t>5.9479</w:t>
            </w:r>
          </w:p>
        </w:tc>
        <w:tc>
          <w:tcPr>
            <w:tcW w:w="1000"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w:t>
            </w:r>
            <w:r>
              <w:rPr>
                <w:rFonts w:hint="eastAsia" w:ascii="仿宋_GB2312" w:hAnsi="仿宋_GB2312" w:eastAsia="仿宋_GB2312" w:cs="仿宋_GB2312"/>
                <w:i w:val="0"/>
                <w:iCs w:val="0"/>
                <w:kern w:val="2"/>
                <w:sz w:val="21"/>
                <w:szCs w:val="21"/>
                <w:u w:val="none"/>
                <w:lang w:val="en-US" w:eastAsia="zh-CN" w:bidi="ar"/>
              </w:rPr>
              <w:t>94</w:t>
            </w:r>
            <w:r>
              <w:rPr>
                <w:rFonts w:hint="eastAsia" w:ascii="仿宋_GB2312" w:hAnsi="仿宋_GB2312" w:eastAsia="仿宋_GB2312" w:cs="仿宋_GB2312"/>
                <w:i w:val="0"/>
                <w:iCs w:val="0"/>
                <w:kern w:val="2"/>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莞佛高速北片区</w:t>
            </w:r>
          </w:p>
        </w:tc>
        <w:tc>
          <w:tcPr>
            <w:tcW w:w="8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3.6210</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sz w:val="21"/>
                <w:szCs w:val="21"/>
                <w:u w:val="none"/>
                <w:lang w:bidi="ar"/>
              </w:rPr>
              <w:t>1.4491</w:t>
            </w:r>
          </w:p>
        </w:tc>
        <w:tc>
          <w:tcPr>
            <w:tcW w:w="1000"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40.0</w:t>
            </w:r>
            <w:r>
              <w:rPr>
                <w:rFonts w:hint="eastAsia" w:ascii="仿宋_GB2312" w:hAnsi="仿宋_GB2312" w:eastAsia="仿宋_GB2312" w:cs="仿宋_GB2312"/>
                <w:i w:val="0"/>
                <w:iCs w:val="0"/>
                <w:kern w:val="2"/>
                <w:sz w:val="21"/>
                <w:szCs w:val="21"/>
                <w:u w:val="none"/>
                <w:lang w:val="en-US" w:eastAsia="zh-CN" w:bidi="ar"/>
              </w:rPr>
              <w:t>2</w:t>
            </w:r>
            <w:r>
              <w:rPr>
                <w:rFonts w:hint="eastAsia" w:ascii="仿宋_GB2312" w:hAnsi="仿宋_GB2312" w:eastAsia="仿宋_GB2312" w:cs="仿宋_GB2312"/>
                <w:i w:val="0"/>
                <w:iCs w:val="0"/>
                <w:kern w:val="2"/>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5</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庆洲工业区北片区</w:t>
            </w:r>
          </w:p>
        </w:tc>
        <w:tc>
          <w:tcPr>
            <w:tcW w:w="8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55.8695</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22.4353</w:t>
            </w:r>
          </w:p>
        </w:tc>
        <w:tc>
          <w:tcPr>
            <w:tcW w:w="1000"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6</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庆洲工业区南片区</w:t>
            </w:r>
          </w:p>
        </w:tc>
        <w:tc>
          <w:tcPr>
            <w:tcW w:w="8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2.1415</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0.8565</w:t>
            </w:r>
          </w:p>
        </w:tc>
        <w:tc>
          <w:tcPr>
            <w:tcW w:w="1000"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7</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高明河北片区</w:t>
            </w:r>
          </w:p>
        </w:tc>
        <w:tc>
          <w:tcPr>
            <w:tcW w:w="8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10.</w:t>
            </w:r>
            <w:r>
              <w:rPr>
                <w:rFonts w:hint="eastAsia" w:ascii="仿宋_GB2312" w:hAnsi="仿宋_GB2312" w:eastAsia="仿宋_GB2312" w:cs="仿宋_GB2312"/>
                <w:i w:val="0"/>
                <w:iCs w:val="0"/>
                <w:kern w:val="2"/>
                <w:sz w:val="21"/>
                <w:szCs w:val="21"/>
                <w:u w:val="none"/>
                <w:lang w:val="en-US" w:eastAsia="zh-CN" w:bidi="ar"/>
              </w:rPr>
              <w:t>4872</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4.2004</w:t>
            </w:r>
          </w:p>
        </w:tc>
        <w:tc>
          <w:tcPr>
            <w:tcW w:w="1000"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8</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文明路西片区</w:t>
            </w:r>
          </w:p>
        </w:tc>
        <w:tc>
          <w:tcPr>
            <w:tcW w:w="8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0.9852</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0.4302</w:t>
            </w:r>
          </w:p>
        </w:tc>
        <w:tc>
          <w:tcPr>
            <w:tcW w:w="1000"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9</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七星岗公园西片区</w:t>
            </w:r>
          </w:p>
        </w:tc>
        <w:tc>
          <w:tcPr>
            <w:tcW w:w="8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0.2301</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0.0940</w:t>
            </w:r>
          </w:p>
        </w:tc>
        <w:tc>
          <w:tcPr>
            <w:tcW w:w="1000"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w:t>
            </w:r>
            <w:r>
              <w:rPr>
                <w:rFonts w:hint="eastAsia" w:ascii="仿宋_GB2312" w:hAnsi="仿宋_GB2312" w:eastAsia="仿宋_GB2312" w:cs="仿宋_GB2312"/>
                <w:i w:val="0"/>
                <w:iCs w:val="0"/>
                <w:kern w:val="2"/>
                <w:sz w:val="21"/>
                <w:szCs w:val="21"/>
                <w:u w:val="none"/>
                <w:lang w:val="en-US" w:eastAsia="zh-CN" w:bidi="ar"/>
              </w:rPr>
              <w:t>85</w:t>
            </w:r>
            <w:r>
              <w:rPr>
                <w:rFonts w:hint="eastAsia" w:ascii="仿宋_GB2312" w:hAnsi="仿宋_GB2312" w:eastAsia="仿宋_GB2312" w:cs="仿宋_GB2312"/>
                <w:i w:val="0"/>
                <w:iCs w:val="0"/>
                <w:kern w:val="2"/>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10</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大德北路东片区</w:t>
            </w:r>
          </w:p>
        </w:tc>
        <w:tc>
          <w:tcPr>
            <w:tcW w:w="88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23.36</w:t>
            </w:r>
            <w:r>
              <w:rPr>
                <w:rFonts w:hint="eastAsia" w:ascii="仿宋_GB2312" w:hAnsi="仿宋_GB2312" w:eastAsia="仿宋_GB2312" w:cs="仿宋_GB2312"/>
                <w:i w:val="0"/>
                <w:iCs w:val="0"/>
                <w:kern w:val="2"/>
                <w:sz w:val="21"/>
                <w:szCs w:val="21"/>
                <w:u w:val="none"/>
                <w:lang w:val="en-US" w:eastAsia="zh-CN" w:bidi="ar"/>
              </w:rPr>
              <w:t>2</w:t>
            </w:r>
            <w:r>
              <w:rPr>
                <w:rFonts w:hint="eastAsia" w:ascii="仿宋_GB2312" w:hAnsi="仿宋_GB2312" w:eastAsia="仿宋_GB2312" w:cs="仿宋_GB2312"/>
                <w:i w:val="0"/>
                <w:iCs w:val="0"/>
                <w:kern w:val="2"/>
                <w:sz w:val="21"/>
                <w:szCs w:val="21"/>
                <w:u w:val="none"/>
                <w:lang w:val="en-US" w:eastAsia="zh-CN" w:bidi="ar"/>
              </w:rPr>
              <w:t>0</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9.4200</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40.3</w:t>
            </w:r>
            <w:r>
              <w:rPr>
                <w:rFonts w:hint="eastAsia" w:ascii="仿宋_GB2312" w:hAnsi="仿宋_GB2312" w:eastAsia="仿宋_GB2312" w:cs="仿宋_GB2312"/>
                <w:i w:val="0"/>
                <w:iCs w:val="0"/>
                <w:kern w:val="2"/>
                <w:sz w:val="21"/>
                <w:szCs w:val="21"/>
                <w:u w:val="none"/>
                <w:lang w:val="en-US" w:eastAsia="zh-CN" w:bidi="ar"/>
              </w:rPr>
              <w:t>2</w:t>
            </w:r>
            <w:r>
              <w:rPr>
                <w:rFonts w:hint="eastAsia" w:ascii="仿宋_GB2312" w:hAnsi="仿宋_GB2312" w:eastAsia="仿宋_GB2312" w:cs="仿宋_GB2312"/>
                <w:i w:val="0"/>
                <w:iCs w:val="0"/>
                <w:kern w:val="2"/>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11</w:t>
            </w:r>
          </w:p>
        </w:tc>
        <w:tc>
          <w:tcPr>
            <w:tcW w:w="1366"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汇智路片区</w:t>
            </w:r>
          </w:p>
        </w:tc>
        <w:tc>
          <w:tcPr>
            <w:tcW w:w="88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5.3391</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2.2083</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12</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丽景东路南片区</w:t>
            </w:r>
          </w:p>
        </w:tc>
        <w:tc>
          <w:tcPr>
            <w:tcW w:w="88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2.9098</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1.1639</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13</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和辉路南片区</w:t>
            </w:r>
          </w:p>
        </w:tc>
        <w:tc>
          <w:tcPr>
            <w:tcW w:w="88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3.2628</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1.3594</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14</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三康路北片区</w:t>
            </w:r>
          </w:p>
        </w:tc>
        <w:tc>
          <w:tcPr>
            <w:tcW w:w="88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4.7559</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1.9599</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15</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杨西大道北一片区</w:t>
            </w:r>
          </w:p>
        </w:tc>
        <w:tc>
          <w:tcPr>
            <w:tcW w:w="88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17.6059</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7.0718</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16</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杨西大道北二片区</w:t>
            </w:r>
          </w:p>
        </w:tc>
        <w:tc>
          <w:tcPr>
            <w:tcW w:w="88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29.9616</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11.9835</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17</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三和路南片区</w:t>
            </w:r>
          </w:p>
        </w:tc>
        <w:tc>
          <w:tcPr>
            <w:tcW w:w="88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5.6380</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2.2552</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val="en-US" w:eastAsia="zh-CN" w:bidi="ar"/>
              </w:rPr>
            </w:pPr>
            <w:r>
              <w:rPr>
                <w:rFonts w:hint="eastAsia" w:ascii="仿宋_GB2312" w:hAnsi="仿宋_GB2312" w:eastAsia="仿宋_GB2312" w:cs="仿宋_GB2312"/>
                <w:i w:val="0"/>
                <w:iCs w:val="0"/>
                <w:sz w:val="21"/>
                <w:szCs w:val="21"/>
                <w:u w:val="none"/>
                <w:lang w:val="en-US" w:eastAsia="zh-CN" w:bidi="ar"/>
              </w:rPr>
              <w:t>18</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明七路南片区</w:t>
            </w:r>
          </w:p>
        </w:tc>
        <w:tc>
          <w:tcPr>
            <w:tcW w:w="88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0.6351</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0.3348</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52.72%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633"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19</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对川工业大道北片区</w:t>
            </w:r>
          </w:p>
        </w:tc>
        <w:tc>
          <w:tcPr>
            <w:tcW w:w="88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6.8203</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2.7302</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633"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20</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杨西大道西片区</w:t>
            </w:r>
          </w:p>
        </w:tc>
        <w:tc>
          <w:tcPr>
            <w:tcW w:w="88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3.2860</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1.3147</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633"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21</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横二路南片区</w:t>
            </w:r>
          </w:p>
        </w:tc>
        <w:tc>
          <w:tcPr>
            <w:tcW w:w="88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26.4309</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10.8318</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22</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石竹路北片区</w:t>
            </w:r>
          </w:p>
        </w:tc>
        <w:tc>
          <w:tcPr>
            <w:tcW w:w="88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4.87</w:t>
            </w:r>
            <w:r>
              <w:rPr>
                <w:rFonts w:hint="eastAsia" w:ascii="仿宋_GB2312" w:hAnsi="仿宋_GB2312" w:eastAsia="仿宋_GB2312" w:cs="仿宋_GB2312"/>
                <w:i w:val="0"/>
                <w:iCs w:val="0"/>
                <w:kern w:val="2"/>
                <w:sz w:val="21"/>
                <w:szCs w:val="21"/>
                <w:u w:val="none"/>
                <w:lang w:val="en-US" w:eastAsia="zh-CN" w:bidi="ar"/>
              </w:rPr>
              <w:t>2</w:t>
            </w:r>
            <w:r>
              <w:rPr>
                <w:rFonts w:hint="eastAsia" w:ascii="仿宋_GB2312" w:hAnsi="仿宋_GB2312" w:eastAsia="仿宋_GB2312" w:cs="仿宋_GB2312"/>
                <w:i w:val="0"/>
                <w:iCs w:val="0"/>
                <w:kern w:val="2"/>
                <w:sz w:val="21"/>
                <w:szCs w:val="21"/>
                <w:u w:val="none"/>
                <w:lang w:val="en-US" w:eastAsia="zh-CN" w:bidi="ar"/>
              </w:rPr>
              <w:t>0</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1.9489</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633"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23</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九江酒厂片区</w:t>
            </w:r>
          </w:p>
        </w:tc>
        <w:tc>
          <w:tcPr>
            <w:tcW w:w="88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39.2620</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15.7049</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24</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仙峰路东片区</w:t>
            </w:r>
          </w:p>
        </w:tc>
        <w:tc>
          <w:tcPr>
            <w:tcW w:w="8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8.2490</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3.2992</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633"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25</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仙峰路北片区</w:t>
            </w:r>
          </w:p>
        </w:tc>
        <w:tc>
          <w:tcPr>
            <w:tcW w:w="8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0.3631</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0.1664</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26</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城七路片区</w:t>
            </w:r>
          </w:p>
        </w:tc>
        <w:tc>
          <w:tcPr>
            <w:tcW w:w="88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16.6057</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6.6415</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2" w:hRule="atLeast"/>
        </w:trPr>
        <w:tc>
          <w:tcPr>
            <w:tcW w:w="633" w:type="pct"/>
            <w:shd w:val="clear" w:color="auto" w:fill="auto"/>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27</w:t>
            </w:r>
          </w:p>
        </w:tc>
        <w:tc>
          <w:tcPr>
            <w:tcW w:w="1366" w:type="pct"/>
            <w:shd w:val="clear" w:color="auto" w:fill="auto"/>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小洞工业园片区</w:t>
            </w:r>
          </w:p>
        </w:tc>
        <w:tc>
          <w:tcPr>
            <w:tcW w:w="88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80.9204</w:t>
            </w:r>
          </w:p>
        </w:tc>
        <w:tc>
          <w:tcPr>
            <w:tcW w:w="11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i w:val="0"/>
                <w:iCs w:val="0"/>
                <w:sz w:val="21"/>
                <w:szCs w:val="21"/>
                <w:u w:val="none"/>
                <w:lang w:val="en-US" w:bidi="ar"/>
              </w:rPr>
            </w:pPr>
            <w:r>
              <w:rPr>
                <w:rFonts w:hint="eastAsia" w:ascii="仿宋_GB2312" w:hAnsi="仿宋_GB2312" w:eastAsia="仿宋_GB2312" w:cs="仿宋_GB2312"/>
                <w:i w:val="0"/>
                <w:iCs w:val="0"/>
                <w:kern w:val="2"/>
                <w:sz w:val="21"/>
                <w:szCs w:val="21"/>
                <w:u w:val="none"/>
                <w:lang w:val="en-US" w:eastAsia="zh-CN" w:bidi="ar"/>
              </w:rPr>
              <w:t>33.2285</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lang w:val="en-US" w:eastAsia="zh-CN" w:bidi="ar"/>
              </w:rPr>
              <w:t>41.06%</w:t>
            </w:r>
          </w:p>
        </w:tc>
      </w:tr>
    </w:tbl>
    <w:p>
      <w:pPr>
        <w:pStyle w:val="9"/>
        <w:spacing w:before="120" w:after="120" w:line="360" w:lineRule="auto"/>
        <w:ind w:firstLine="0" w:firstLineChars="0"/>
        <w:outlineLvl w:val="0"/>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六</w:t>
      </w:r>
      <w:r>
        <w:rPr>
          <w:rFonts w:hint="eastAsia" w:ascii="黑体" w:hAnsi="黑体" w:eastAsia="黑体" w:cs="黑体"/>
          <w:sz w:val="36"/>
          <w:szCs w:val="36"/>
        </w:rPr>
        <w:t>、</w:t>
      </w:r>
      <w:r>
        <w:rPr>
          <w:rFonts w:hint="eastAsia" w:ascii="黑体" w:hAnsi="黑体" w:eastAsia="黑体" w:cs="黑体"/>
          <w:sz w:val="36"/>
          <w:szCs w:val="36"/>
          <w:lang w:val="en-US" w:eastAsia="zh-CN"/>
        </w:rPr>
        <w:t>规划符合情况</w:t>
      </w:r>
    </w:p>
    <w:p>
      <w:pPr>
        <w:pStyle w:val="9"/>
        <w:spacing w:before="0" w:after="0" w:line="560" w:lineRule="exact"/>
        <w:ind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spacing w:val="0"/>
          <w:sz w:val="32"/>
          <w:szCs w:val="32"/>
          <w:shd w:val="clear"/>
        </w:rPr>
        <w:t>本方案符合国民经济和社会发展规划的发展定位、要求，有利于完成规划目标、任务，拟纳入国民经济和社会发展年度计划。成片开发范围纳入在编的国土空间规划的城镇开发边界集中建设区，确保实施土地征收成片开发范围内用地符合《土地管理法》第四十五条第一款第（五）项的规定。成片开发区域范围不涉及永久基本农田、生态保护红线</w:t>
      </w:r>
      <w:r>
        <w:rPr>
          <w:rFonts w:hint="eastAsia" w:ascii="仿宋_GB2312" w:hAnsi="仿宋_GB2312" w:eastAsia="仿宋_GB2312" w:cs="仿宋_GB2312"/>
          <w:i w:val="0"/>
          <w:iCs w:val="0"/>
          <w:caps w:val="0"/>
          <w:spacing w:val="0"/>
          <w:sz w:val="32"/>
          <w:szCs w:val="32"/>
          <w:shd w:val="clear"/>
          <w:lang w:eastAsia="zh-CN"/>
        </w:rPr>
        <w:t>，</w:t>
      </w:r>
      <w:r>
        <w:rPr>
          <w:rFonts w:hint="eastAsia" w:ascii="仿宋_GB2312" w:hAnsi="仿宋_GB2312" w:eastAsia="仿宋_GB2312" w:cs="仿宋_GB2312"/>
          <w:i w:val="0"/>
          <w:iCs w:val="0"/>
          <w:caps w:val="0"/>
          <w:spacing w:val="0"/>
          <w:sz w:val="32"/>
          <w:szCs w:val="32"/>
          <w:shd w:val="clear"/>
          <w:lang w:val="en-US" w:eastAsia="zh-CN"/>
        </w:rPr>
        <w:t>符合相关要求</w:t>
      </w:r>
      <w:r>
        <w:rPr>
          <w:rFonts w:hint="eastAsia" w:ascii="仿宋_GB2312" w:hAnsi="仿宋_GB2312" w:eastAsia="仿宋_GB2312" w:cs="仿宋_GB2312"/>
          <w:i w:val="0"/>
          <w:iCs w:val="0"/>
          <w:caps w:val="0"/>
          <w:spacing w:val="0"/>
          <w:sz w:val="32"/>
          <w:szCs w:val="32"/>
          <w:shd w:val="clear"/>
        </w:rPr>
        <w:t>。</w:t>
      </w:r>
    </w:p>
    <w:p>
      <w:pPr>
        <w:pStyle w:val="9"/>
        <w:spacing w:before="120" w:after="120" w:line="360" w:lineRule="auto"/>
        <w:ind w:firstLine="0" w:firstLineChars="0"/>
        <w:outlineLvl w:val="0"/>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七</w:t>
      </w:r>
      <w:r>
        <w:rPr>
          <w:rFonts w:hint="eastAsia" w:ascii="黑体" w:hAnsi="黑体" w:eastAsia="黑体" w:cs="黑体"/>
          <w:sz w:val="36"/>
          <w:szCs w:val="36"/>
        </w:rPr>
        <w:t>、</w:t>
      </w:r>
      <w:r>
        <w:rPr>
          <w:rFonts w:hint="eastAsia" w:ascii="Calibri" w:hAnsi="Calibri" w:eastAsia="黑体" w:cs="楷体"/>
          <w:bCs/>
          <w:kern w:val="44"/>
          <w:sz w:val="36"/>
          <w:szCs w:val="44"/>
        </w:rPr>
        <w:t>拟安排的建设项目</w:t>
      </w:r>
      <w:r>
        <w:rPr>
          <w:rFonts w:hint="eastAsia" w:ascii="Calibri" w:hAnsi="Calibri" w:eastAsia="黑体" w:cs="楷体"/>
          <w:bCs/>
          <w:kern w:val="44"/>
          <w:sz w:val="36"/>
          <w:szCs w:val="44"/>
          <w:lang w:val="en-US" w:eastAsia="zh-CN"/>
        </w:rPr>
        <w:t>及</w:t>
      </w:r>
      <w:r>
        <w:rPr>
          <w:rFonts w:hint="eastAsia" w:ascii="Calibri" w:hAnsi="Calibri" w:eastAsia="黑体" w:cs="楷体"/>
          <w:bCs/>
          <w:kern w:val="44"/>
          <w:sz w:val="36"/>
          <w:szCs w:val="44"/>
        </w:rPr>
        <w:t>实施计划</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本方案</w:t>
      </w:r>
      <w:r>
        <w:rPr>
          <w:rFonts w:hint="eastAsia" w:ascii="仿宋_GB2312" w:hAnsi="仿宋_GB2312" w:eastAsia="仿宋_GB2312" w:cs="仿宋_GB2312"/>
          <w:sz w:val="32"/>
          <w:szCs w:val="32"/>
          <w:lang w:val="en-US" w:eastAsia="zh-CN"/>
        </w:rPr>
        <w:t>拟安排项目面积</w:t>
      </w:r>
      <w:r>
        <w:rPr>
          <w:rFonts w:hint="eastAsia" w:ascii="仿宋_GB2312" w:hAnsi="仿宋_GB2312" w:eastAsia="仿宋_GB2312" w:cs="仿宋_GB2312"/>
          <w:sz w:val="32"/>
          <w:szCs w:val="32"/>
          <w:lang w:val="en-US" w:eastAsia="zh-CN"/>
        </w:rPr>
        <w:t>257.8326</w:t>
      </w:r>
      <w:r>
        <w:rPr>
          <w:rFonts w:hint="eastAsia" w:ascii="仿宋_GB2312" w:hAnsi="仿宋_GB2312" w:eastAsia="仿宋_GB2312" w:cs="仿宋_GB2312"/>
          <w:sz w:val="32"/>
          <w:szCs w:val="32"/>
          <w:lang w:val="en-US" w:eastAsia="zh-CN"/>
        </w:rPr>
        <w:t>公顷，安排于2022年-2024年度实施。</w:t>
      </w:r>
    </w:p>
    <w:p>
      <w:pPr>
        <w:pStyle w:val="9"/>
        <w:spacing w:line="360" w:lineRule="auto"/>
        <w:ind w:firstLine="482"/>
        <w:jc w:val="center"/>
        <w:rPr>
          <w:rFonts w:hint="eastAsia" w:ascii="仿宋_GB2312" w:hAnsi="仿宋_GB2312" w:eastAsia="仿宋_GB2312" w:cs="仿宋_GB2312"/>
          <w:b/>
          <w:bCs/>
          <w:sz w:val="28"/>
          <w:szCs w:val="28"/>
          <w:lang w:val="en-US" w:eastAsia="zh-CN"/>
        </w:rPr>
      </w:pPr>
      <w:bookmarkStart w:id="3" w:name="_Toc69918969"/>
      <w:bookmarkStart w:id="4" w:name="_Toc69918875"/>
      <w:bookmarkStart w:id="5" w:name="_Toc71553653"/>
      <w:r>
        <w:rPr>
          <w:rFonts w:hint="eastAsia" w:ascii="仿宋_GB2312" w:hAnsi="仿宋_GB2312" w:eastAsia="仿宋_GB2312" w:cs="仿宋_GB2312"/>
          <w:b/>
          <w:bCs/>
          <w:sz w:val="28"/>
          <w:szCs w:val="28"/>
        </w:rPr>
        <w:t>表</w:t>
      </w:r>
      <w:r>
        <w:rPr>
          <w:rFonts w:hint="eastAsia" w:ascii="仿宋_GB2312" w:hAnsi="仿宋_GB2312" w:eastAsia="仿宋_GB2312" w:cs="仿宋_GB2312"/>
          <w:b/>
          <w:bCs/>
          <w:sz w:val="28"/>
          <w:szCs w:val="28"/>
          <w:lang w:val="en-US" w:eastAsia="zh-CN"/>
        </w:rPr>
        <w:t>6-1 拟安排项目一览表</w:t>
      </w:r>
    </w:p>
    <w:bookmarkEnd w:id="3"/>
    <w:bookmarkEnd w:id="4"/>
    <w:bookmarkEnd w:id="5"/>
    <w:tbl>
      <w:tblPr>
        <w:tblW w:w="520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50"/>
        <w:gridCol w:w="1518"/>
        <w:gridCol w:w="2063"/>
        <w:gridCol w:w="1163"/>
        <w:gridCol w:w="1412"/>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blHeader/>
        </w:trPr>
        <w:tc>
          <w:tcPr>
            <w:tcW w:w="704" w:type="pct"/>
            <w:vMerge w:val="restart"/>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b/>
                <w:bCs/>
                <w:i w:val="0"/>
                <w:iCs w:val="0"/>
                <w:sz w:val="21"/>
                <w:szCs w:val="21"/>
                <w:u w:val="none"/>
                <w:lang w:bidi="ar"/>
              </w:rPr>
            </w:pPr>
            <w:bookmarkStart w:id="6" w:name="_Toc24523"/>
            <w:r>
              <w:rPr>
                <w:rFonts w:hint="eastAsia" w:ascii="仿宋_GB2312" w:hAnsi="仿宋_GB2312" w:eastAsia="仿宋_GB2312" w:cs="仿宋_GB2312"/>
                <w:b/>
                <w:bCs/>
                <w:i w:val="0"/>
                <w:iCs w:val="0"/>
                <w:kern w:val="2"/>
                <w:sz w:val="21"/>
                <w:szCs w:val="21"/>
                <w:u w:val="none"/>
                <w:bdr w:val="none" w:sz="4" w:space="0"/>
                <w:lang w:val="en-US" w:eastAsia="zh-CN" w:bidi="ar"/>
              </w:rPr>
              <w:t>镇街名称</w:t>
            </w:r>
          </w:p>
        </w:tc>
        <w:tc>
          <w:tcPr>
            <w:tcW w:w="855" w:type="pct"/>
            <w:vMerge w:val="restart"/>
            <w:tcBorders>
              <w:top w:val="single" w:color="000000" w:sz="8" w:space="0"/>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b/>
                <w:bCs/>
                <w:i w:val="0"/>
                <w:iCs w:val="0"/>
                <w:sz w:val="21"/>
                <w:szCs w:val="21"/>
                <w:u w:val="none"/>
                <w:lang w:bidi="ar"/>
              </w:rPr>
            </w:pPr>
            <w:r>
              <w:rPr>
                <w:rFonts w:hint="eastAsia" w:ascii="仿宋_GB2312" w:hAnsi="仿宋_GB2312" w:eastAsia="仿宋_GB2312" w:cs="仿宋_GB2312"/>
                <w:b/>
                <w:bCs/>
                <w:i w:val="0"/>
                <w:iCs w:val="0"/>
                <w:kern w:val="2"/>
                <w:sz w:val="21"/>
                <w:szCs w:val="21"/>
                <w:u w:val="none"/>
                <w:bdr w:val="none" w:sz="4" w:space="0"/>
                <w:lang w:val="en-US" w:eastAsia="zh-CN" w:bidi="ar"/>
              </w:rPr>
              <w:t>所在片区</w:t>
            </w:r>
          </w:p>
        </w:tc>
        <w:tc>
          <w:tcPr>
            <w:tcW w:w="1162" w:type="pct"/>
            <w:vMerge w:val="restart"/>
            <w:tcBorders>
              <w:top w:val="single" w:color="000000" w:sz="8" w:space="0"/>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b/>
                <w:bCs/>
                <w:i w:val="0"/>
                <w:iCs w:val="0"/>
                <w:sz w:val="21"/>
                <w:szCs w:val="21"/>
                <w:u w:val="none"/>
                <w:lang w:bidi="ar"/>
              </w:rPr>
            </w:pPr>
            <w:r>
              <w:rPr>
                <w:rFonts w:hint="eastAsia" w:ascii="仿宋_GB2312" w:hAnsi="仿宋_GB2312" w:eastAsia="仿宋_GB2312" w:cs="仿宋_GB2312"/>
                <w:b/>
                <w:bCs/>
                <w:i w:val="0"/>
                <w:iCs w:val="0"/>
                <w:kern w:val="2"/>
                <w:sz w:val="21"/>
                <w:szCs w:val="21"/>
                <w:u w:val="none"/>
                <w:bdr w:val="none" w:sz="4" w:space="0"/>
                <w:lang w:val="en-US" w:eastAsia="zh-CN" w:bidi="ar"/>
              </w:rPr>
              <w:t>项目名称</w:t>
            </w:r>
          </w:p>
        </w:tc>
        <w:tc>
          <w:tcPr>
            <w:tcW w:w="655" w:type="pct"/>
            <w:vMerge w:val="restart"/>
            <w:tcBorders>
              <w:top w:val="single" w:color="000000" w:sz="8" w:space="0"/>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b/>
                <w:bCs/>
                <w:i w:val="0"/>
                <w:iCs w:val="0"/>
                <w:sz w:val="21"/>
                <w:szCs w:val="21"/>
                <w:u w:val="none"/>
                <w:lang w:bidi="ar"/>
              </w:rPr>
            </w:pPr>
            <w:r>
              <w:rPr>
                <w:rFonts w:hint="eastAsia" w:ascii="仿宋_GB2312" w:hAnsi="仿宋_GB2312" w:eastAsia="仿宋_GB2312" w:cs="仿宋_GB2312"/>
                <w:b/>
                <w:bCs/>
                <w:i w:val="0"/>
                <w:iCs w:val="0"/>
                <w:kern w:val="2"/>
                <w:sz w:val="21"/>
                <w:szCs w:val="21"/>
                <w:u w:val="none"/>
                <w:bdr w:val="none" w:sz="4" w:space="0"/>
                <w:lang w:val="en-US" w:eastAsia="zh-CN" w:bidi="ar"/>
              </w:rPr>
              <w:t>开发时序</w:t>
            </w:r>
          </w:p>
        </w:tc>
        <w:tc>
          <w:tcPr>
            <w:tcW w:w="795" w:type="pct"/>
            <w:vMerge w:val="restart"/>
            <w:tcBorders>
              <w:top w:val="single" w:color="000000" w:sz="8" w:space="0"/>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b/>
                <w:bCs/>
                <w:i w:val="0"/>
                <w:iCs w:val="0"/>
                <w:sz w:val="21"/>
                <w:szCs w:val="21"/>
                <w:u w:val="none"/>
                <w:lang w:bidi="ar"/>
              </w:rPr>
            </w:pPr>
            <w:r>
              <w:rPr>
                <w:rFonts w:hint="eastAsia" w:ascii="仿宋_GB2312" w:hAnsi="仿宋_GB2312" w:eastAsia="仿宋_GB2312" w:cs="仿宋_GB2312"/>
                <w:b/>
                <w:bCs/>
                <w:i w:val="0"/>
                <w:iCs w:val="0"/>
                <w:kern w:val="2"/>
                <w:sz w:val="21"/>
                <w:szCs w:val="21"/>
                <w:u w:val="none"/>
                <w:bdr w:val="none" w:sz="4" w:space="0"/>
                <w:lang w:val="en-US" w:eastAsia="zh-CN" w:bidi="ar"/>
              </w:rPr>
              <w:t>主要开发用途</w:t>
            </w:r>
          </w:p>
        </w:tc>
        <w:tc>
          <w:tcPr>
            <w:tcW w:w="828" w:type="pct"/>
            <w:tcBorders>
              <w:top w:val="single" w:color="000000" w:sz="8" w:space="0"/>
              <w:left w:val="nil"/>
              <w:bottom w:val="nil"/>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b/>
                <w:bCs/>
                <w:i w:val="0"/>
                <w:iCs w:val="0"/>
                <w:sz w:val="21"/>
                <w:szCs w:val="21"/>
                <w:u w:val="none"/>
                <w:lang w:bidi="ar"/>
              </w:rPr>
            </w:pPr>
            <w:r>
              <w:rPr>
                <w:rFonts w:hint="eastAsia" w:ascii="仿宋_GB2312" w:hAnsi="仿宋_GB2312" w:eastAsia="仿宋_GB2312" w:cs="仿宋_GB2312"/>
                <w:b/>
                <w:bCs/>
                <w:i w:val="0"/>
                <w:iCs w:val="0"/>
                <w:kern w:val="2"/>
                <w:sz w:val="21"/>
                <w:szCs w:val="21"/>
                <w:u w:val="none"/>
                <w:bdr w:val="none" w:sz="4" w:space="0"/>
                <w:lang w:val="en-US" w:eastAsia="zh-CN" w:bidi="ar"/>
              </w:rPr>
              <w:t>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blHeader/>
        </w:trPr>
        <w:tc>
          <w:tcPr>
            <w:tcW w:w="704" w:type="pct"/>
            <w:vMerge w:val="continue"/>
            <w:tcBorders>
              <w:top w:val="single" w:color="000000" w:sz="8" w:space="0"/>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b/>
                <w:bCs/>
                <w:i w:val="0"/>
                <w:iCs w:val="0"/>
                <w:kern w:val="2"/>
                <w:sz w:val="21"/>
                <w:szCs w:val="21"/>
                <w:u w:val="none"/>
                <w:lang w:val="en-US" w:eastAsia="zh-CN" w:bidi="ar"/>
              </w:rPr>
            </w:pPr>
          </w:p>
        </w:tc>
        <w:tc>
          <w:tcPr>
            <w:tcW w:w="855" w:type="pct"/>
            <w:vMerge w:val="continue"/>
            <w:tcBorders>
              <w:top w:val="single" w:color="000000" w:sz="8" w:space="0"/>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b/>
                <w:bCs/>
                <w:i w:val="0"/>
                <w:iCs w:val="0"/>
                <w:kern w:val="2"/>
                <w:sz w:val="21"/>
                <w:szCs w:val="21"/>
                <w:u w:val="none"/>
                <w:lang w:val="en-US" w:eastAsia="zh-CN" w:bidi="ar"/>
              </w:rPr>
            </w:pPr>
          </w:p>
        </w:tc>
        <w:tc>
          <w:tcPr>
            <w:tcW w:w="1162" w:type="pct"/>
            <w:vMerge w:val="continue"/>
            <w:tcBorders>
              <w:top w:val="single" w:color="000000" w:sz="8" w:space="0"/>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b/>
                <w:bCs/>
                <w:i w:val="0"/>
                <w:iCs w:val="0"/>
                <w:kern w:val="2"/>
                <w:sz w:val="21"/>
                <w:szCs w:val="21"/>
                <w:u w:val="none"/>
                <w:lang w:val="en-US" w:eastAsia="zh-CN" w:bidi="ar"/>
              </w:rPr>
            </w:pPr>
          </w:p>
        </w:tc>
        <w:tc>
          <w:tcPr>
            <w:tcW w:w="655" w:type="pct"/>
            <w:vMerge w:val="continue"/>
            <w:tcBorders>
              <w:top w:val="single" w:color="000000" w:sz="8" w:space="0"/>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b/>
                <w:bCs/>
                <w:i w:val="0"/>
                <w:iCs w:val="0"/>
                <w:kern w:val="2"/>
                <w:sz w:val="21"/>
                <w:szCs w:val="21"/>
                <w:u w:val="none"/>
                <w:lang w:val="en-US" w:eastAsia="zh-CN" w:bidi="ar"/>
              </w:rPr>
            </w:pPr>
          </w:p>
        </w:tc>
        <w:tc>
          <w:tcPr>
            <w:tcW w:w="795" w:type="pct"/>
            <w:vMerge w:val="continue"/>
            <w:tcBorders>
              <w:top w:val="single" w:color="000000" w:sz="8" w:space="0"/>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b/>
                <w:bCs/>
                <w:i w:val="0"/>
                <w:iCs w:val="0"/>
                <w:kern w:val="2"/>
                <w:sz w:val="21"/>
                <w:szCs w:val="21"/>
                <w:u w:val="none"/>
                <w:lang w:val="en-US" w:eastAsia="zh-CN" w:bidi="ar"/>
              </w:rPr>
            </w:pP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b/>
                <w:bCs/>
                <w:i w:val="0"/>
                <w:iCs w:val="0"/>
                <w:sz w:val="21"/>
                <w:szCs w:val="21"/>
                <w:u w:val="none"/>
                <w:lang w:bidi="ar"/>
              </w:rPr>
            </w:pPr>
            <w:r>
              <w:rPr>
                <w:rFonts w:hint="eastAsia" w:ascii="仿宋_GB2312" w:hAnsi="仿宋_GB2312" w:eastAsia="仿宋_GB2312" w:cs="仿宋_GB2312"/>
                <w:b/>
                <w:bCs/>
                <w:i w:val="0"/>
                <w:iCs w:val="0"/>
                <w:kern w:val="2"/>
                <w:sz w:val="21"/>
                <w:szCs w:val="21"/>
                <w:u w:val="none"/>
                <w:bdr w:val="none" w:sz="4" w:space="0"/>
                <w:lang w:val="en-US" w:eastAsia="zh-CN" w:bidi="ar"/>
              </w:rPr>
              <w:t>（公顷）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restart"/>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荷城街道</w:t>
            </w: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荷富路东片区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商业服务项目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2023年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商业用地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restar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电力智造园片区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品龙精工科技项目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2.1746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产业开发项目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0.5567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产业开发项目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0.8958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耐锐机械项目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4.4591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奥斯玛智能装备项目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1.8649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产业开发项目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0.3724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restar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照明产业基地片区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产业开发项目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0.1361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产业开发项目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2024年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产业开发项目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2023年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1.4424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产业开发项目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2023年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1.3116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产业开发项目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2023年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4.6561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莞佛高速北片区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产业开发项目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2023年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2.1725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restar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庆洲工业区北片区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产业开发项目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2023年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2.3185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2020年第十三批次</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2020年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6.1589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2020年第十二批次</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2020年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9.2256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2020年第十四批次</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2020年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20.1925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庆洲工业区南片区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产业开发项目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2023年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高明河北片区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产业开发项目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2023年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6.2937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文明路西片区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住宅开发及配套设施项目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2023年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居住用地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0.7389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七星岗公园西片区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住宅开发及配套设施项目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居住用地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0.176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restart"/>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西江新城</w:t>
            </w: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丽景东路南片区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商业服务项目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商业用地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1.7459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restar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汇智路片区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商业服务项目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商业用地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住宅开发项目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居住用地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1.5047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restar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大德路北片区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住宅开发项目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居住用地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8.0151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2019年第17批次</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2020年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居住用地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和辉路南片区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2019年第17批次</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2020年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三康路北片区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2019年第17批次</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2020年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3.7072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restart"/>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杨和镇</w:t>
            </w:r>
          </w:p>
        </w:tc>
        <w:tc>
          <w:tcPr>
            <w:tcW w:w="855" w:type="pct"/>
            <w:vMerge w:val="restar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杨西大道北一片区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佛山市石金工业有限公司二期项目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3.4472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佛山平谦国际（高明）现代产业园项目三期</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1.4253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佛山平谦国际（高明）现代产业园项目三期</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6.0859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佛山平谦国际（高明）现代产业园项目三期</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0.5906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restar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杨西大道北二片区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佛山平谦国际（高明）现代产业园项目三期</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0.6749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佛山平谦国际（高明）现代产业园项目三期</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2023年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2.6558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2020年度第15批次</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2020年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9.8532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2020年度第15批次</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2020年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4.7936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三和路南片区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产业开发项目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3.3828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明七路南片区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加油站</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加油加气站用地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0.5144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restar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对川工业大道北片区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顺德区莱利达工程设备有限公司</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2023年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0.1196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顺德区莱利达工程设备有限公司</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3.008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顺德区莱利达工程设备有限公司</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2023年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0.9646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杨西大道西片区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广东科腾幕墙有限公司</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2024年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1.9716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restar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横二路南片区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天津天海轮毂电机科技有限公司高效智能轮毂电机驱动项目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2024年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2.5622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富华电子</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0.4988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富华电子</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1.4909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富华电子</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2023年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10.4668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产业开发项目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2023年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0.8471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石竹路北片区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住宅开发及配套设施项目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2024年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居住用地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3.2428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九江酒厂项目片区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九江酒厂</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23.5571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restart"/>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明城镇</w:t>
            </w:r>
          </w:p>
        </w:tc>
        <w:tc>
          <w:tcPr>
            <w:tcW w:w="855" w:type="pct"/>
            <w:vMerge w:val="restar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仙峰路东片区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银鹏粮食产销一体加工物流科技园</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1.9324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产业开发项目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0.0221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仙峰路北片区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银鹏粮食产销一体加工物流科技园</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2.9953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城七路片区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中旗硅晶材料生产研发基地项目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0.3631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仙峰路东片区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中旗硅晶材料生产研发基地项目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9.9642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restart"/>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更合镇</w:t>
            </w:r>
          </w:p>
        </w:tc>
        <w:tc>
          <w:tcPr>
            <w:tcW w:w="855" w:type="pct"/>
            <w:vMerge w:val="restar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小洞工业园片区</w:t>
            </w: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佛山市志沃机械设备有限公司项目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suppressLineNumbers w:val="0"/>
              <w:ind w:firstLine="0" w:firstLineChars="0"/>
              <w:jc w:val="center"/>
              <w:textAlignment w:val="auto"/>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10.7427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基础设施项目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城市道路用地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1.7814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2021年第度二批次</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2021年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20.0157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基础设施项目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城市道路用地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1.6015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货拉拉华南互联网服务产业园项目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17.8191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wAfter w:w="0" w:type="auto"/>
          <w:cantSplit/>
          <w:trHeight w:val="340" w:hRule="atLeast"/>
        </w:trPr>
        <w:tc>
          <w:tcPr>
            <w:tcW w:w="704" w:type="pct"/>
            <w:vMerge w:val="continue"/>
            <w:tcBorders>
              <w:top w:val="nil"/>
              <w:left w:val="single" w:color="000000" w:sz="8" w:space="0"/>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855" w:type="pct"/>
            <w:vMerge w:val="continue"/>
            <w:tcBorders>
              <w:top w:val="nil"/>
              <w:left w:val="nil"/>
              <w:bottom w:val="single" w:color="000000" w:sz="8" w:space="0"/>
              <w:right w:val="single" w:color="000000" w:sz="8" w:space="0"/>
            </w:tcBorders>
            <w:shd w:val="clear"/>
            <w:noWrap/>
            <w:vAlign w:val="center"/>
          </w:tcPr>
          <w:p>
            <w:pPr>
              <w:widowControl w:val="0"/>
              <w:jc w:val="center"/>
              <w:rPr>
                <w:rFonts w:hint="eastAsia" w:ascii="仿宋_GB2312" w:hAnsi="仿宋_GB2312" w:eastAsia="仿宋_GB2312" w:cs="仿宋_GB2312"/>
                <w:i w:val="0"/>
                <w:iCs w:val="0"/>
                <w:kern w:val="2"/>
                <w:sz w:val="21"/>
                <w:szCs w:val="21"/>
                <w:u w:val="none"/>
                <w:lang w:val="en-US" w:eastAsia="zh-CN" w:bidi="ar"/>
              </w:rPr>
            </w:pPr>
          </w:p>
        </w:tc>
        <w:tc>
          <w:tcPr>
            <w:tcW w:w="1162"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佛山市宝尔森机械设备有限公司交直流电机生产项目</w:t>
            </w:r>
          </w:p>
        </w:tc>
        <w:tc>
          <w:tcPr>
            <w:tcW w:w="65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2022年</w:t>
            </w:r>
          </w:p>
        </w:tc>
        <w:tc>
          <w:tcPr>
            <w:tcW w:w="795"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工业用地</w:t>
            </w:r>
          </w:p>
        </w:tc>
        <w:tc>
          <w:tcPr>
            <w:tcW w:w="828" w:type="pct"/>
            <w:tcBorders>
              <w:top w:val="nil"/>
              <w:left w:val="nil"/>
              <w:bottom w:val="single" w:color="000000" w:sz="8" w:space="0"/>
              <w:right w:val="single" w:color="000000" w:sz="8" w:space="0"/>
            </w:tcBorders>
            <w:shd w:val="clear"/>
            <w:noWrap/>
            <w:vAlign w:val="center"/>
          </w:tcPr>
          <w:p>
            <w:pPr>
              <w:keepNext w:val="0"/>
              <w:keepLines w:val="0"/>
              <w:widowControl w:val="0"/>
              <w:suppressLineNumbers w:val="0"/>
              <w:ind w:firstLine="0" w:firstLineChars="0"/>
              <w:jc w:val="center"/>
              <w:textAlignment w:val="center"/>
              <w:rPr>
                <w:rFonts w:hint="eastAsia" w:ascii="仿宋_GB2312" w:hAnsi="仿宋_GB2312" w:eastAsia="仿宋_GB2312" w:cs="仿宋_GB2312"/>
                <w:i w:val="0"/>
                <w:iCs w:val="0"/>
                <w:sz w:val="21"/>
                <w:szCs w:val="21"/>
                <w:u w:val="none"/>
                <w:lang w:bidi="ar"/>
              </w:rPr>
            </w:pPr>
            <w:r>
              <w:rPr>
                <w:rFonts w:hint="eastAsia" w:ascii="仿宋_GB2312" w:hAnsi="仿宋_GB2312" w:eastAsia="仿宋_GB2312" w:cs="仿宋_GB2312"/>
                <w:i w:val="0"/>
                <w:iCs w:val="0"/>
                <w:kern w:val="2"/>
                <w:sz w:val="21"/>
                <w:szCs w:val="21"/>
                <w:u w:val="none"/>
                <w:bdr w:val="none" w:sz="4" w:space="0"/>
                <w:lang w:val="en-US" w:eastAsia="zh-CN" w:bidi="ar"/>
              </w:rPr>
              <w:t>4.7548</w:t>
            </w:r>
          </w:p>
        </w:tc>
      </w:tr>
    </w:tbl>
    <w:p>
      <w:pPr>
        <w:numPr>
          <w:ilvl w:val="255"/>
          <w:numId w:val="0"/>
        </w:numPr>
        <w:spacing w:before="120" w:after="120" w:line="360" w:lineRule="auto"/>
        <w:outlineLvl w:val="0"/>
        <w:rPr>
          <w:rFonts w:ascii="Calibri" w:hAnsi="Calibri" w:eastAsia="黑体" w:cs="楷体"/>
          <w:bCs/>
          <w:kern w:val="44"/>
          <w:sz w:val="36"/>
          <w:szCs w:val="44"/>
        </w:rPr>
      </w:pPr>
      <w:r>
        <w:rPr>
          <w:rFonts w:hint="eastAsia" w:ascii="Calibri" w:hAnsi="Calibri" w:eastAsia="黑体" w:cs="楷体"/>
          <w:bCs/>
          <w:kern w:val="44"/>
          <w:sz w:val="36"/>
          <w:szCs w:val="44"/>
          <w:lang w:val="en-US" w:eastAsia="zh-CN"/>
        </w:rPr>
        <w:t>八</w:t>
      </w:r>
      <w:r>
        <w:rPr>
          <w:rFonts w:hint="eastAsia" w:ascii="Calibri" w:hAnsi="Calibri" w:eastAsia="黑体" w:cs="楷体"/>
          <w:bCs/>
          <w:kern w:val="44"/>
          <w:sz w:val="36"/>
          <w:szCs w:val="44"/>
        </w:rPr>
        <w:t>、成片开发效益评估</w:t>
      </w:r>
      <w:bookmarkEnd w:id="6"/>
    </w:p>
    <w:p>
      <w:pPr>
        <w:pStyle w:val="4"/>
        <w:numPr>
          <w:ilvl w:val="0"/>
          <w:numId w:val="6"/>
        </w:numPr>
        <w:spacing w:before="120" w:after="120"/>
        <w:ind w:left="561" w:hanging="420"/>
        <w:rPr>
          <w:sz w:val="32"/>
          <w:szCs w:val="36"/>
        </w:rPr>
      </w:pPr>
      <w:bookmarkStart w:id="7" w:name="_Toc6082"/>
      <w:r>
        <w:rPr>
          <w:rFonts w:hint="eastAsia"/>
          <w:sz w:val="32"/>
          <w:szCs w:val="36"/>
        </w:rPr>
        <w:t>土地利用效益</w:t>
      </w:r>
      <w:bookmarkEnd w:id="7"/>
    </w:p>
    <w:p>
      <w:pPr>
        <w:keepNext w:val="0"/>
        <w:keepLines w:val="0"/>
        <w:pageBreakBefore w:val="0"/>
        <w:widowControl/>
        <w:kinsoku/>
        <w:wordWrap/>
        <w:overflowPunct/>
        <w:topLinePunct w:val="0"/>
        <w:autoSpaceDE/>
        <w:autoSpaceDN/>
        <w:bidi w:val="0"/>
        <w:adjustRightInd/>
        <w:snapToGrid/>
        <w:spacing w:line="560" w:lineRule="exact"/>
        <w:ind w:firstLine="64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成片开发片区内规划用地符合《城市居住区规划设计标准（2018）》、《佛山市城市总体规划》、《佛山市城市规划管理技术规定》等相关规范导则要求，做到科学布置建设用地空间布局。</w:t>
      </w:r>
      <w:r>
        <w:rPr>
          <w:rFonts w:hint="eastAsia" w:ascii="仿宋_GB2312" w:hAnsi="仿宋_GB2312" w:eastAsia="仿宋_GB2312" w:cs="仿宋_GB2312"/>
          <w:sz w:val="32"/>
          <w:szCs w:val="32"/>
          <w:lang w:val="en-US" w:eastAsia="zh-CN"/>
        </w:rPr>
        <w:t>成片开发通过</w:t>
      </w:r>
      <w:r>
        <w:rPr>
          <w:rFonts w:hint="eastAsia" w:ascii="仿宋_GB2312" w:hAnsi="仿宋_GB2312" w:eastAsia="仿宋_GB2312" w:cs="仿宋_GB2312"/>
          <w:sz w:val="32"/>
          <w:szCs w:val="32"/>
        </w:rPr>
        <w:t>整合</w:t>
      </w:r>
      <w:r>
        <w:rPr>
          <w:rFonts w:hint="eastAsia" w:ascii="仿宋_GB2312" w:hAnsi="仿宋_GB2312" w:eastAsia="仿宋_GB2312" w:cs="仿宋_GB2312"/>
          <w:sz w:val="32"/>
          <w:szCs w:val="32"/>
          <w:lang w:val="en-US" w:eastAsia="zh-CN"/>
        </w:rPr>
        <w:t>片区</w:t>
      </w:r>
      <w:r>
        <w:rPr>
          <w:rFonts w:hint="eastAsia" w:ascii="仿宋_GB2312" w:hAnsi="仿宋_GB2312" w:eastAsia="仿宋_GB2312" w:cs="仿宋_GB2312"/>
          <w:sz w:val="32"/>
          <w:szCs w:val="32"/>
        </w:rPr>
        <w:t>空间，</w:t>
      </w:r>
      <w:r>
        <w:rPr>
          <w:rFonts w:hint="eastAsia" w:ascii="仿宋_GB2312" w:hAnsi="仿宋_GB2312" w:eastAsia="仿宋_GB2312" w:cs="仿宋_GB2312"/>
          <w:sz w:val="32"/>
          <w:szCs w:val="32"/>
          <w:lang w:val="en-US" w:eastAsia="zh-CN"/>
        </w:rPr>
        <w:t>有效</w:t>
      </w:r>
      <w:r>
        <w:rPr>
          <w:rFonts w:hint="eastAsia" w:ascii="仿宋_GB2312" w:hAnsi="仿宋_GB2312" w:eastAsia="仿宋_GB2312" w:cs="仿宋_GB2312"/>
          <w:sz w:val="32"/>
          <w:szCs w:val="32"/>
        </w:rPr>
        <w:t>落实产城互动的发展理念，推动</w:t>
      </w:r>
      <w:r>
        <w:rPr>
          <w:rFonts w:hint="eastAsia" w:ascii="仿宋_GB2312" w:hAnsi="仿宋_GB2312" w:eastAsia="仿宋_GB2312" w:cs="仿宋_GB2312"/>
          <w:sz w:val="32"/>
          <w:szCs w:val="32"/>
          <w:lang w:val="en-US" w:eastAsia="zh-CN"/>
        </w:rPr>
        <w:t>各个片区</w:t>
      </w:r>
      <w:r>
        <w:rPr>
          <w:rFonts w:hint="eastAsia" w:ascii="仿宋_GB2312" w:hAnsi="仿宋_GB2312" w:eastAsia="仿宋_GB2312" w:cs="仿宋_GB2312"/>
          <w:sz w:val="32"/>
          <w:szCs w:val="32"/>
        </w:rPr>
        <w:t>空间布局合理、</w:t>
      </w:r>
      <w:r>
        <w:rPr>
          <w:rFonts w:hint="eastAsia" w:ascii="仿宋_GB2312" w:hAnsi="仿宋_GB2312" w:eastAsia="仿宋_GB2312" w:cs="仿宋_GB2312"/>
          <w:sz w:val="32"/>
          <w:szCs w:val="32"/>
          <w:lang w:val="en-US" w:eastAsia="zh-CN"/>
        </w:rPr>
        <w:t>连片发展、</w:t>
      </w:r>
      <w:r>
        <w:rPr>
          <w:rFonts w:hint="eastAsia" w:ascii="仿宋_GB2312" w:hAnsi="仿宋_GB2312" w:eastAsia="仿宋_GB2312" w:cs="仿宋_GB2312"/>
          <w:sz w:val="32"/>
          <w:szCs w:val="32"/>
        </w:rPr>
        <w:t>土地利用有效、公共服务配置完善、基础设施建设有序、近远期建设项目统筹落实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使得土地利用实现由粗放型转为集约型的根本转变。</w:t>
      </w:r>
    </w:p>
    <w:p>
      <w:pPr>
        <w:pStyle w:val="4"/>
        <w:numPr>
          <w:ilvl w:val="0"/>
          <w:numId w:val="6"/>
        </w:numPr>
        <w:spacing w:before="120" w:after="120"/>
        <w:ind w:left="561" w:hanging="420"/>
        <w:rPr>
          <w:sz w:val="32"/>
          <w:szCs w:val="36"/>
        </w:rPr>
      </w:pPr>
      <w:bookmarkStart w:id="8" w:name="_Toc20201"/>
      <w:r>
        <w:rPr>
          <w:rFonts w:hint="eastAsia"/>
          <w:sz w:val="32"/>
          <w:szCs w:val="36"/>
        </w:rPr>
        <w:t>经济效益</w:t>
      </w:r>
      <w:bookmarkEnd w:id="8"/>
    </w:p>
    <w:p>
      <w:pPr>
        <w:widowControl/>
        <w:spacing w:line="560" w:lineRule="exact"/>
        <w:ind w:firstLine="64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片开发的实施，有利于建设完善片区周边公共基础配套设施，从而吸引更多的高质量产业落位高明区。项目投产后，生产能力进一步加强，满足市场对产品的需求，除了增加本地税收收入，还将增加高明区第二、三产业的生产总值，提升第二、三产业对地区生产总值增长的贡献率。以新技术、新业态、新模式加速推动一二三产业融合发展，现代农业、传统优势产业、战略性新兴产业、现代服务业的产业体系不断完善。</w:t>
      </w:r>
    </w:p>
    <w:p>
      <w:pPr>
        <w:pStyle w:val="4"/>
        <w:numPr>
          <w:ilvl w:val="0"/>
          <w:numId w:val="6"/>
        </w:numPr>
        <w:spacing w:before="120" w:after="120"/>
        <w:ind w:left="561" w:hanging="420"/>
        <w:rPr>
          <w:sz w:val="32"/>
          <w:szCs w:val="36"/>
        </w:rPr>
      </w:pPr>
      <w:bookmarkStart w:id="9" w:name="_Toc17469"/>
      <w:r>
        <w:rPr>
          <w:rFonts w:hint="eastAsia"/>
          <w:sz w:val="32"/>
          <w:szCs w:val="36"/>
        </w:rPr>
        <w:t>社会效益</w:t>
      </w:r>
      <w:bookmarkEnd w:id="9"/>
    </w:p>
    <w:p>
      <w:pPr>
        <w:keepNext w:val="0"/>
        <w:keepLines w:val="0"/>
        <w:pageBreakBefore w:val="0"/>
        <w:widowControl/>
        <w:kinsoku/>
        <w:wordWrap/>
        <w:overflowPunct/>
        <w:topLinePunct w:val="0"/>
        <w:autoSpaceDE/>
        <w:autoSpaceDN/>
        <w:bidi w:val="0"/>
        <w:adjustRightInd/>
        <w:snapToGrid/>
        <w:spacing w:line="560" w:lineRule="exact"/>
        <w:ind w:firstLine="64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成片开发有利于重点推进产业园发展，优化产业结构和空间布局，结合政策红利，吸引企业入驻，带动地方人才市场，实现人才聚集，有利于促进本地往高质素发展，优化社会结构。高明区将通过龙</w:t>
      </w:r>
    </w:p>
    <w:p>
      <w:pPr>
        <w:keepNext w:val="0"/>
        <w:keepLines w:val="0"/>
        <w:pageBreakBefore w:val="0"/>
        <w:widowControl/>
        <w:kinsoku/>
        <w:wordWrap/>
        <w:overflowPunct/>
        <w:topLinePunct w:val="0"/>
        <w:autoSpaceDE/>
        <w:autoSpaceDN/>
        <w:bidi w:val="0"/>
        <w:adjustRightInd/>
        <w:snapToGrid/>
        <w:spacing w:line="560" w:lineRule="exact"/>
        <w:ind w:firstLine="64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头企业产品辐射、技术示范、信息扩散、销售网络等引领作用，引导制造业中小企业集聚，同时能够为本地创造就业岗位，为本地居民提供更多的就业机会，缓解本地就业压力，实现更加充分更高质量就业，使得居民收入增长和经济增长基本同步。</w:t>
      </w:r>
    </w:p>
    <w:p>
      <w:pPr>
        <w:pStyle w:val="4"/>
        <w:numPr>
          <w:ilvl w:val="0"/>
          <w:numId w:val="6"/>
        </w:numPr>
        <w:spacing w:before="120" w:after="120"/>
        <w:ind w:left="561" w:hanging="420"/>
        <w:rPr>
          <w:sz w:val="32"/>
          <w:szCs w:val="36"/>
        </w:rPr>
      </w:pPr>
      <w:bookmarkStart w:id="10" w:name="_Toc11287"/>
      <w:r>
        <w:rPr>
          <w:rFonts w:hint="eastAsia"/>
          <w:sz w:val="32"/>
          <w:szCs w:val="36"/>
        </w:rPr>
        <w:t>生态效益</w:t>
      </w:r>
      <w:bookmarkEnd w:id="10"/>
    </w:p>
    <w:p>
      <w:pPr>
        <w:widowControl/>
        <w:spacing w:line="560" w:lineRule="exact"/>
        <w:ind w:firstLine="640" w:firstLineChars="0"/>
        <w:jc w:val="left"/>
        <w:rPr>
          <w:rFonts w:hint="eastAsia" w:ascii="仿宋_GB2312" w:hAnsi="仿宋_GB2312" w:eastAsia="仿宋_GB2312" w:cs="仿宋_GB2312"/>
          <w:sz w:val="32"/>
          <w:szCs w:val="32"/>
          <w:lang w:val="en-US" w:eastAsia="zh-CN"/>
        </w:rPr>
      </w:pPr>
      <w:bookmarkStart w:id="11" w:name="_Toc21836"/>
      <w:r>
        <w:rPr>
          <w:rFonts w:hint="eastAsia" w:ascii="仿宋_GB2312" w:hAnsi="仿宋_GB2312" w:eastAsia="仿宋_GB2312" w:cs="仿宋_GB2312"/>
          <w:sz w:val="32"/>
          <w:szCs w:val="32"/>
          <w:lang w:val="en-US" w:eastAsia="zh-CN"/>
        </w:rPr>
        <w:t>成片开发片区范围内不涉及占用永久基本农田、生态保护红线和自然保护地，符合生态环境保护要求，能有效地保障生态安全、粮食安全、国土安全。方案中涉及的产业类项目将结合产业准入、环境评估等手段，与构建绿色制造体系的发展目标相匹配，将环境保护措施落实到位。</w:t>
      </w:r>
    </w:p>
    <w:p>
      <w:pPr>
        <w:numPr>
          <w:ilvl w:val="255"/>
          <w:numId w:val="0"/>
        </w:numPr>
        <w:spacing w:before="120" w:after="120" w:line="360" w:lineRule="auto"/>
        <w:outlineLvl w:val="0"/>
        <w:rPr>
          <w:rFonts w:hint="eastAsia" w:ascii="Calibri" w:hAnsi="Calibri" w:eastAsia="黑体" w:cs="楷体"/>
          <w:bCs/>
          <w:kern w:val="44"/>
          <w:sz w:val="36"/>
          <w:szCs w:val="44"/>
          <w:lang w:val="en-US" w:eastAsia="zh-CN"/>
        </w:rPr>
      </w:pPr>
      <w:r>
        <w:rPr>
          <w:rFonts w:hint="eastAsia" w:ascii="Calibri" w:hAnsi="Calibri" w:eastAsia="黑体" w:cs="楷体"/>
          <w:bCs/>
          <w:kern w:val="44"/>
          <w:sz w:val="36"/>
          <w:szCs w:val="44"/>
          <w:lang w:val="en-US" w:eastAsia="zh-CN"/>
        </w:rPr>
        <w:t>九、结论</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《佛山市高明区2022年度土地征收成片开发方案》符合《自然资源部关于印发&lt;土地征收成片开发标准（试行）&gt;的通知》（自然资规〔2020〕5 号）等相关文件的要求。</w:t>
      </w:r>
    </w:p>
    <w:p>
      <w:pPr>
        <w:numPr>
          <w:ilvl w:val="255"/>
          <w:numId w:val="0"/>
        </w:numPr>
        <w:spacing w:before="120" w:after="120" w:line="360" w:lineRule="auto"/>
        <w:outlineLvl w:val="0"/>
        <w:rPr>
          <w:rFonts w:hint="eastAsia" w:ascii="Calibri" w:hAnsi="Calibri" w:eastAsia="黑体" w:cs="楷体"/>
          <w:bCs/>
          <w:kern w:val="44"/>
          <w:sz w:val="36"/>
          <w:szCs w:val="44"/>
          <w:lang w:val="en-US" w:eastAsia="zh-CN"/>
        </w:rPr>
      </w:pPr>
      <w:r>
        <w:rPr>
          <w:rFonts w:hint="eastAsia" w:ascii="Calibri" w:hAnsi="Calibri" w:eastAsia="黑体" w:cs="楷体"/>
          <w:bCs/>
          <w:kern w:val="44"/>
          <w:sz w:val="36"/>
          <w:szCs w:val="44"/>
          <w:lang w:val="en-US" w:eastAsia="zh-CN"/>
        </w:rPr>
        <w:t>十、附图</w:t>
      </w:r>
    </w:p>
    <w:p>
      <w:pPr>
        <w:pStyle w:val="9"/>
        <w:rPr>
          <w:rFonts w:hint="default"/>
          <w:lang w:val="en-US" w:eastAsia="zh-CN"/>
        </w:rPr>
      </w:pPr>
    </w:p>
    <w:p>
      <w:pPr>
        <w:rPr>
          <w:rFonts w:hint="default"/>
          <w:lang w:val="en-US" w:eastAsia="zh-CN"/>
        </w:rPr>
      </w:pPr>
      <w:r>
        <w:rPr>
          <w:rFonts w:hint="default"/>
          <w:lang w:val="en-US" w:eastAsia="zh-CN"/>
        </w:rPr>
        <w:br w:type="page"/>
      </w:r>
    </w:p>
    <w:p>
      <w:pPr>
        <w:pStyle w:val="9"/>
        <w:rPr>
          <w:rFonts w:hint="default"/>
          <w:lang w:val="en-US" w:eastAsia="zh-CN"/>
        </w:rPr>
        <w:sectPr>
          <w:footerReference r:id="rId6" w:type="default"/>
          <w:pgSz w:w="11906" w:h="16838"/>
          <w:pgMar w:top="1440" w:right="1797" w:bottom="1440" w:left="1797" w:header="851" w:footer="992" w:gutter="0"/>
          <w:pgNumType w:fmt="decimal"/>
          <w:cols w:space="0" w:num="1"/>
          <w:rtlGutter w:val="0"/>
          <w:docGrid w:type="lines" w:linePitch="395"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szCs w:val="28"/>
        </w:rPr>
      </w:pPr>
      <w:r>
        <w:rPr>
          <w:rFonts w:hint="eastAsia" w:cs="Times New Roman"/>
          <w:b/>
          <w:bCs/>
          <w:sz w:val="28"/>
          <w:szCs w:val="28"/>
          <w:lang w:val="en-US" w:eastAsia="zh-CN"/>
        </w:rPr>
        <w:t>拟征收地块、</w:t>
      </w:r>
      <w:r>
        <w:rPr>
          <w:rFonts w:hint="default" w:cs="Times New Roman"/>
          <w:b/>
          <w:bCs/>
          <w:sz w:val="28"/>
          <w:szCs w:val="28"/>
        </w:rPr>
        <w:t>成片开发片区</w:t>
      </w:r>
      <w:r>
        <w:rPr>
          <w:rFonts w:hint="default" w:cs="Times New Roman"/>
          <w:b/>
          <w:bCs/>
          <w:sz w:val="28"/>
          <w:szCs w:val="28"/>
          <w:lang w:val="en-US" w:eastAsia="zh-CN"/>
        </w:rPr>
        <w:t>位置</w:t>
      </w:r>
      <w:bookmarkStart w:id="12" w:name="_GoBack"/>
      <w:bookmarkEnd w:id="12"/>
      <w:r>
        <w:rPr>
          <w:rFonts w:hint="default" w:cs="Times New Roman"/>
          <w:b/>
          <w:bCs/>
          <w:sz w:val="28"/>
          <w:szCs w:val="28"/>
          <w:lang w:val="en-US" w:eastAsia="zh-CN"/>
        </w:rPr>
        <w:t>示意图</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drawing>
          <wp:inline distT="0" distB="0" distL="114300" distR="114300">
            <wp:extent cx="8054340" cy="4949825"/>
            <wp:effectExtent l="0" t="0" r="3810"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8054340" cy="4949825"/>
                    </a:xfrm>
                    <a:prstGeom prst="rect">
                      <a:avLst/>
                    </a:prstGeom>
                    <a:noFill/>
                    <a:ln>
                      <a:noFill/>
                    </a:ln>
                  </pic:spPr>
                </pic:pic>
              </a:graphicData>
            </a:graphic>
          </wp:inline>
        </w:drawing>
      </w:r>
    </w:p>
    <w:sectPr>
      <w:footerReference r:id="rId7" w:type="default"/>
      <w:pgSz w:w="16838" w:h="11906" w:orient="landscape"/>
      <w:pgMar w:top="1797" w:right="1440" w:bottom="1797" w:left="1440" w:header="851" w:footer="992" w:gutter="0"/>
      <w:pgNumType w:fmt="decimal"/>
      <w:cols w:space="0" w:num="1"/>
      <w:rtlGutter w:val="0"/>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0"/>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16</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0"/>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16</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30C94B"/>
    <w:multiLevelType w:val="multilevel"/>
    <w:tmpl w:val="8730C94B"/>
    <w:lvl w:ilvl="0" w:tentative="0">
      <w:start w:val="1"/>
      <w:numFmt w:val="chineseCountingThousand"/>
      <w:pStyle w:val="4"/>
      <w:lvlText w:val="(%1)"/>
      <w:lvlJc w:val="left"/>
      <w:pPr>
        <w:ind w:left="704" w:hanging="420"/>
      </w:pPr>
      <w:rPr>
        <w:rFonts w:hint="eastAsia"/>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1">
    <w:nsid w:val="E2DC899E"/>
    <w:multiLevelType w:val="singleLevel"/>
    <w:tmpl w:val="E2DC899E"/>
    <w:lvl w:ilvl="0" w:tentative="0">
      <w:start w:val="1"/>
      <w:numFmt w:val="chineseCounting"/>
      <w:suff w:val="nothing"/>
      <w:lvlText w:val="%1、"/>
      <w:lvlJc w:val="left"/>
      <w:rPr>
        <w:rFonts w:hint="eastAsia"/>
      </w:rPr>
    </w:lvl>
  </w:abstractNum>
  <w:abstractNum w:abstractNumId="2">
    <w:nsid w:val="07E7509D"/>
    <w:multiLevelType w:val="multilevel"/>
    <w:tmpl w:val="07E7509D"/>
    <w:lvl w:ilvl="0" w:tentative="0">
      <w:start w:val="1"/>
      <w:numFmt w:val="decimal"/>
      <w:pStyle w:val="6"/>
      <w:lvlText w:val="%1)"/>
      <w:lvlJc w:val="left"/>
      <w:pPr>
        <w:ind w:left="845" w:hanging="420"/>
      </w:pPr>
      <w:rPr>
        <w:rFonts w:hint="eastAsia"/>
      </w:rPr>
    </w:lvl>
    <w:lvl w:ilvl="1" w:tentative="0">
      <w:start w:val="1"/>
      <w:numFmt w:val="lowerLetter"/>
      <w:lvlText w:val="%2)"/>
      <w:lvlJc w:val="left"/>
      <w:pPr>
        <w:ind w:left="2257" w:hanging="420"/>
      </w:pPr>
    </w:lvl>
    <w:lvl w:ilvl="2" w:tentative="0">
      <w:start w:val="1"/>
      <w:numFmt w:val="lowerRoman"/>
      <w:lvlText w:val="%3."/>
      <w:lvlJc w:val="right"/>
      <w:pPr>
        <w:ind w:left="2677" w:hanging="420"/>
      </w:pPr>
    </w:lvl>
    <w:lvl w:ilvl="3" w:tentative="0">
      <w:start w:val="1"/>
      <w:numFmt w:val="decimal"/>
      <w:lvlText w:val="%4."/>
      <w:lvlJc w:val="left"/>
      <w:pPr>
        <w:ind w:left="3097" w:hanging="420"/>
      </w:pPr>
    </w:lvl>
    <w:lvl w:ilvl="4" w:tentative="0">
      <w:start w:val="1"/>
      <w:numFmt w:val="lowerLetter"/>
      <w:lvlText w:val="%5)"/>
      <w:lvlJc w:val="left"/>
      <w:pPr>
        <w:ind w:left="3517" w:hanging="420"/>
      </w:pPr>
    </w:lvl>
    <w:lvl w:ilvl="5" w:tentative="0">
      <w:start w:val="1"/>
      <w:numFmt w:val="lowerRoman"/>
      <w:lvlText w:val="%6."/>
      <w:lvlJc w:val="right"/>
      <w:pPr>
        <w:ind w:left="3937" w:hanging="420"/>
      </w:pPr>
    </w:lvl>
    <w:lvl w:ilvl="6" w:tentative="0">
      <w:start w:val="1"/>
      <w:numFmt w:val="decimal"/>
      <w:lvlText w:val="%7."/>
      <w:lvlJc w:val="left"/>
      <w:pPr>
        <w:ind w:left="4357" w:hanging="420"/>
      </w:pPr>
    </w:lvl>
    <w:lvl w:ilvl="7" w:tentative="0">
      <w:start w:val="1"/>
      <w:numFmt w:val="lowerLetter"/>
      <w:lvlText w:val="%8)"/>
      <w:lvlJc w:val="left"/>
      <w:pPr>
        <w:ind w:left="4777" w:hanging="420"/>
      </w:pPr>
    </w:lvl>
    <w:lvl w:ilvl="8" w:tentative="0">
      <w:start w:val="1"/>
      <w:numFmt w:val="lowerRoman"/>
      <w:lvlText w:val="%9."/>
      <w:lvlJc w:val="right"/>
      <w:pPr>
        <w:ind w:left="5197" w:hanging="420"/>
      </w:pPr>
    </w:lvl>
  </w:abstractNum>
  <w:abstractNum w:abstractNumId="3">
    <w:nsid w:val="2BA63828"/>
    <w:multiLevelType w:val="multilevel"/>
    <w:tmpl w:val="2BA63828"/>
    <w:lvl w:ilvl="0" w:tentative="0">
      <w:start w:val="1"/>
      <w:numFmt w:val="chineseCountingThousand"/>
      <w:lvlText w:val="(%1)"/>
      <w:lvlJc w:val="left"/>
      <w:pPr>
        <w:ind w:left="704" w:hanging="420"/>
      </w:pPr>
      <w:rPr>
        <w:rFonts w:hint="eastAsia"/>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
    <w:nsid w:val="31C74EFB"/>
    <w:multiLevelType w:val="multilevel"/>
    <w:tmpl w:val="31C74EFB"/>
    <w:lvl w:ilvl="0" w:tentative="0">
      <w:start w:val="1"/>
      <w:numFmt w:val="chineseCountingThousand"/>
      <w:pStyle w:val="2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6CA070F"/>
    <w:multiLevelType w:val="multilevel"/>
    <w:tmpl w:val="76CA070F"/>
    <w:lvl w:ilvl="0" w:tentative="0">
      <w:start w:val="1"/>
      <w:numFmt w:val="chineseCountingThousand"/>
      <w:lvlText w:val="(%1)"/>
      <w:lvlJc w:val="left"/>
      <w:pPr>
        <w:ind w:left="561" w:hanging="420"/>
      </w:pPr>
      <w:rPr>
        <w:rFonts w:hint="eastAsia"/>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9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4NmNhMTVmN2I2MWMxNDg1MTJhNTA3ZDkyNDFjMDAifQ=="/>
  </w:docVars>
  <w:rsids>
    <w:rsidRoot w:val="0D9F6ED5"/>
    <w:rsid w:val="000750B8"/>
    <w:rsid w:val="000F1B11"/>
    <w:rsid w:val="00130D91"/>
    <w:rsid w:val="001970A6"/>
    <w:rsid w:val="001B6CD8"/>
    <w:rsid w:val="001D4659"/>
    <w:rsid w:val="00235D3B"/>
    <w:rsid w:val="003044CE"/>
    <w:rsid w:val="00305462"/>
    <w:rsid w:val="00311A76"/>
    <w:rsid w:val="004025A3"/>
    <w:rsid w:val="004633DE"/>
    <w:rsid w:val="00495C5F"/>
    <w:rsid w:val="004A052A"/>
    <w:rsid w:val="004B2FFA"/>
    <w:rsid w:val="004C2EA5"/>
    <w:rsid w:val="004D21A3"/>
    <w:rsid w:val="0051777D"/>
    <w:rsid w:val="00520304"/>
    <w:rsid w:val="006A237A"/>
    <w:rsid w:val="00772351"/>
    <w:rsid w:val="007D784F"/>
    <w:rsid w:val="008C2202"/>
    <w:rsid w:val="0091662D"/>
    <w:rsid w:val="0099223B"/>
    <w:rsid w:val="009D578A"/>
    <w:rsid w:val="00A75442"/>
    <w:rsid w:val="00B857F2"/>
    <w:rsid w:val="00C013F7"/>
    <w:rsid w:val="00C901FE"/>
    <w:rsid w:val="00D07F09"/>
    <w:rsid w:val="00E86015"/>
    <w:rsid w:val="00EC4D4E"/>
    <w:rsid w:val="00EE53CE"/>
    <w:rsid w:val="00F1104B"/>
    <w:rsid w:val="00F570BA"/>
    <w:rsid w:val="00F9470B"/>
    <w:rsid w:val="012B027E"/>
    <w:rsid w:val="01B723D2"/>
    <w:rsid w:val="01B93CB7"/>
    <w:rsid w:val="01FB6AD1"/>
    <w:rsid w:val="025E676C"/>
    <w:rsid w:val="026D332A"/>
    <w:rsid w:val="02834F3F"/>
    <w:rsid w:val="02A35A31"/>
    <w:rsid w:val="02BF0151"/>
    <w:rsid w:val="02F2727A"/>
    <w:rsid w:val="02FD039C"/>
    <w:rsid w:val="030C6CE7"/>
    <w:rsid w:val="03115327"/>
    <w:rsid w:val="031D1D3A"/>
    <w:rsid w:val="036D53B8"/>
    <w:rsid w:val="039E7BFC"/>
    <w:rsid w:val="03B249A0"/>
    <w:rsid w:val="03F5567A"/>
    <w:rsid w:val="040530AE"/>
    <w:rsid w:val="04512AE7"/>
    <w:rsid w:val="04786742"/>
    <w:rsid w:val="04DA1754"/>
    <w:rsid w:val="04DB0DF0"/>
    <w:rsid w:val="0513531E"/>
    <w:rsid w:val="0525006B"/>
    <w:rsid w:val="05634F7D"/>
    <w:rsid w:val="056836A1"/>
    <w:rsid w:val="05904288"/>
    <w:rsid w:val="059C73DB"/>
    <w:rsid w:val="05BF195F"/>
    <w:rsid w:val="06014645"/>
    <w:rsid w:val="06322094"/>
    <w:rsid w:val="06334BDE"/>
    <w:rsid w:val="06575AF9"/>
    <w:rsid w:val="0666319C"/>
    <w:rsid w:val="06B92AC7"/>
    <w:rsid w:val="06D20B58"/>
    <w:rsid w:val="06F36E19"/>
    <w:rsid w:val="070B5459"/>
    <w:rsid w:val="0711502D"/>
    <w:rsid w:val="07122666"/>
    <w:rsid w:val="0734518A"/>
    <w:rsid w:val="07401F98"/>
    <w:rsid w:val="075607D7"/>
    <w:rsid w:val="076E396D"/>
    <w:rsid w:val="078D76A1"/>
    <w:rsid w:val="07AC7082"/>
    <w:rsid w:val="08020162"/>
    <w:rsid w:val="080E69DB"/>
    <w:rsid w:val="084D4A74"/>
    <w:rsid w:val="088E69DA"/>
    <w:rsid w:val="09265B20"/>
    <w:rsid w:val="09D51EE3"/>
    <w:rsid w:val="09F51253"/>
    <w:rsid w:val="0A5E1C4B"/>
    <w:rsid w:val="0AAE5324"/>
    <w:rsid w:val="0AC44914"/>
    <w:rsid w:val="0B3E48E9"/>
    <w:rsid w:val="0B497451"/>
    <w:rsid w:val="0B63471F"/>
    <w:rsid w:val="0B8043E7"/>
    <w:rsid w:val="0BE6295C"/>
    <w:rsid w:val="0D0412E4"/>
    <w:rsid w:val="0D191A81"/>
    <w:rsid w:val="0D7F4840"/>
    <w:rsid w:val="0D9F6ED5"/>
    <w:rsid w:val="0DCF3D77"/>
    <w:rsid w:val="0E111458"/>
    <w:rsid w:val="0E833925"/>
    <w:rsid w:val="0EA15C06"/>
    <w:rsid w:val="0EF535DA"/>
    <w:rsid w:val="0F0969FC"/>
    <w:rsid w:val="0F1160D0"/>
    <w:rsid w:val="0F3A7D6D"/>
    <w:rsid w:val="103F4C84"/>
    <w:rsid w:val="1099179A"/>
    <w:rsid w:val="10AC6A9E"/>
    <w:rsid w:val="10CE42B6"/>
    <w:rsid w:val="11415E7A"/>
    <w:rsid w:val="116110A9"/>
    <w:rsid w:val="11656491"/>
    <w:rsid w:val="11733875"/>
    <w:rsid w:val="11787414"/>
    <w:rsid w:val="119810E6"/>
    <w:rsid w:val="11A144A8"/>
    <w:rsid w:val="11B93132"/>
    <w:rsid w:val="11CD0636"/>
    <w:rsid w:val="11D91200"/>
    <w:rsid w:val="11FB0AD2"/>
    <w:rsid w:val="12313A18"/>
    <w:rsid w:val="1265333A"/>
    <w:rsid w:val="12D55D23"/>
    <w:rsid w:val="12E41406"/>
    <w:rsid w:val="12F62100"/>
    <w:rsid w:val="13015B34"/>
    <w:rsid w:val="139026AA"/>
    <w:rsid w:val="1400548C"/>
    <w:rsid w:val="141008AC"/>
    <w:rsid w:val="14242518"/>
    <w:rsid w:val="143E5A91"/>
    <w:rsid w:val="14C83FFD"/>
    <w:rsid w:val="152C3656"/>
    <w:rsid w:val="16277F23"/>
    <w:rsid w:val="163112C6"/>
    <w:rsid w:val="168513E3"/>
    <w:rsid w:val="16B50D5B"/>
    <w:rsid w:val="16B9141F"/>
    <w:rsid w:val="171E06D2"/>
    <w:rsid w:val="172F4CC4"/>
    <w:rsid w:val="175F44AC"/>
    <w:rsid w:val="17B76285"/>
    <w:rsid w:val="17F20E0B"/>
    <w:rsid w:val="186D7031"/>
    <w:rsid w:val="187171F3"/>
    <w:rsid w:val="1886238D"/>
    <w:rsid w:val="18983097"/>
    <w:rsid w:val="189F2CD8"/>
    <w:rsid w:val="18AD6781"/>
    <w:rsid w:val="18BA396F"/>
    <w:rsid w:val="18BD6172"/>
    <w:rsid w:val="18C85A83"/>
    <w:rsid w:val="18DE6FC3"/>
    <w:rsid w:val="18E07BB8"/>
    <w:rsid w:val="190B5EEA"/>
    <w:rsid w:val="19195476"/>
    <w:rsid w:val="19232FCC"/>
    <w:rsid w:val="19576938"/>
    <w:rsid w:val="197964B0"/>
    <w:rsid w:val="1A2967EA"/>
    <w:rsid w:val="1A2C6E1A"/>
    <w:rsid w:val="1A6E0DAA"/>
    <w:rsid w:val="1A6F1A6F"/>
    <w:rsid w:val="1AD93D61"/>
    <w:rsid w:val="1AE4111D"/>
    <w:rsid w:val="1B083355"/>
    <w:rsid w:val="1B572DEC"/>
    <w:rsid w:val="1B9C6015"/>
    <w:rsid w:val="1BCA739D"/>
    <w:rsid w:val="1C974611"/>
    <w:rsid w:val="1D1A6387"/>
    <w:rsid w:val="1D2B2C5D"/>
    <w:rsid w:val="1D460095"/>
    <w:rsid w:val="1DB027F7"/>
    <w:rsid w:val="1DB479E2"/>
    <w:rsid w:val="1DC468C4"/>
    <w:rsid w:val="1DC87757"/>
    <w:rsid w:val="1DF0235D"/>
    <w:rsid w:val="1E1C6F86"/>
    <w:rsid w:val="1E2768FE"/>
    <w:rsid w:val="1E28747F"/>
    <w:rsid w:val="1E503006"/>
    <w:rsid w:val="1E8E446B"/>
    <w:rsid w:val="1EA411F5"/>
    <w:rsid w:val="1EAF0226"/>
    <w:rsid w:val="1ED525E6"/>
    <w:rsid w:val="1EDA6147"/>
    <w:rsid w:val="1EFB3A8A"/>
    <w:rsid w:val="1F146999"/>
    <w:rsid w:val="1F407EBC"/>
    <w:rsid w:val="1F47796A"/>
    <w:rsid w:val="1F4A35BE"/>
    <w:rsid w:val="1F591E54"/>
    <w:rsid w:val="1F9A41CA"/>
    <w:rsid w:val="2034115A"/>
    <w:rsid w:val="2097117D"/>
    <w:rsid w:val="20BA59DD"/>
    <w:rsid w:val="20ED1203"/>
    <w:rsid w:val="213A47A4"/>
    <w:rsid w:val="214146B7"/>
    <w:rsid w:val="2175195F"/>
    <w:rsid w:val="21964DDA"/>
    <w:rsid w:val="21C06721"/>
    <w:rsid w:val="21CD338B"/>
    <w:rsid w:val="21DB3363"/>
    <w:rsid w:val="228A3F5B"/>
    <w:rsid w:val="23076D54"/>
    <w:rsid w:val="23200F56"/>
    <w:rsid w:val="2333305E"/>
    <w:rsid w:val="23875246"/>
    <w:rsid w:val="23C327A9"/>
    <w:rsid w:val="23CD24C8"/>
    <w:rsid w:val="23E351B1"/>
    <w:rsid w:val="245F60EE"/>
    <w:rsid w:val="24A40392"/>
    <w:rsid w:val="24D13CB6"/>
    <w:rsid w:val="25387CCE"/>
    <w:rsid w:val="25756BBF"/>
    <w:rsid w:val="25823B63"/>
    <w:rsid w:val="25B1424F"/>
    <w:rsid w:val="25CB2851"/>
    <w:rsid w:val="25E735D3"/>
    <w:rsid w:val="266F44C5"/>
    <w:rsid w:val="268D13B9"/>
    <w:rsid w:val="26A423AF"/>
    <w:rsid w:val="26A65479"/>
    <w:rsid w:val="26B66D69"/>
    <w:rsid w:val="26D10E22"/>
    <w:rsid w:val="26E26E44"/>
    <w:rsid w:val="278D262B"/>
    <w:rsid w:val="279B0A7B"/>
    <w:rsid w:val="282F4588"/>
    <w:rsid w:val="28765EE2"/>
    <w:rsid w:val="28E2127D"/>
    <w:rsid w:val="29143778"/>
    <w:rsid w:val="294606A3"/>
    <w:rsid w:val="296E5B37"/>
    <w:rsid w:val="297E1B3A"/>
    <w:rsid w:val="299978FF"/>
    <w:rsid w:val="29A5185C"/>
    <w:rsid w:val="29CE16C4"/>
    <w:rsid w:val="29EF4847"/>
    <w:rsid w:val="2A060CA3"/>
    <w:rsid w:val="2A235D7F"/>
    <w:rsid w:val="2A433B63"/>
    <w:rsid w:val="2A5D6C41"/>
    <w:rsid w:val="2A5E7730"/>
    <w:rsid w:val="2A672FB9"/>
    <w:rsid w:val="2ABD364B"/>
    <w:rsid w:val="2B18582A"/>
    <w:rsid w:val="2B3824B6"/>
    <w:rsid w:val="2B660896"/>
    <w:rsid w:val="2B8160B2"/>
    <w:rsid w:val="2B990EAF"/>
    <w:rsid w:val="2BC9692C"/>
    <w:rsid w:val="2BF44C56"/>
    <w:rsid w:val="2BFC1011"/>
    <w:rsid w:val="2C1D6FB9"/>
    <w:rsid w:val="2C424154"/>
    <w:rsid w:val="2C4938AB"/>
    <w:rsid w:val="2C536581"/>
    <w:rsid w:val="2C8A410F"/>
    <w:rsid w:val="2CBF7CAB"/>
    <w:rsid w:val="2CC91C70"/>
    <w:rsid w:val="2DAA208B"/>
    <w:rsid w:val="2E4A5917"/>
    <w:rsid w:val="2E7117F2"/>
    <w:rsid w:val="2E811D1D"/>
    <w:rsid w:val="2EAD2EDD"/>
    <w:rsid w:val="2ED02D42"/>
    <w:rsid w:val="2F172C69"/>
    <w:rsid w:val="2F783672"/>
    <w:rsid w:val="2FB06BA2"/>
    <w:rsid w:val="2FB163B0"/>
    <w:rsid w:val="300977FD"/>
    <w:rsid w:val="304D69D0"/>
    <w:rsid w:val="304E2F72"/>
    <w:rsid w:val="306E2844"/>
    <w:rsid w:val="308C1E21"/>
    <w:rsid w:val="30B269BD"/>
    <w:rsid w:val="30B84E95"/>
    <w:rsid w:val="31247698"/>
    <w:rsid w:val="317C39D2"/>
    <w:rsid w:val="31C17595"/>
    <w:rsid w:val="31FA31FE"/>
    <w:rsid w:val="320E702B"/>
    <w:rsid w:val="32242987"/>
    <w:rsid w:val="324C51D7"/>
    <w:rsid w:val="326600BE"/>
    <w:rsid w:val="32843D60"/>
    <w:rsid w:val="331E2CFA"/>
    <w:rsid w:val="332713E9"/>
    <w:rsid w:val="337D61C2"/>
    <w:rsid w:val="33847304"/>
    <w:rsid w:val="339911E1"/>
    <w:rsid w:val="33B668B3"/>
    <w:rsid w:val="33C64166"/>
    <w:rsid w:val="34066716"/>
    <w:rsid w:val="34207F13"/>
    <w:rsid w:val="34525317"/>
    <w:rsid w:val="34650FEB"/>
    <w:rsid w:val="346E6C90"/>
    <w:rsid w:val="349015BA"/>
    <w:rsid w:val="34B221F5"/>
    <w:rsid w:val="34D27C86"/>
    <w:rsid w:val="35615C0F"/>
    <w:rsid w:val="358367A4"/>
    <w:rsid w:val="359160E2"/>
    <w:rsid w:val="36807657"/>
    <w:rsid w:val="368C5E1B"/>
    <w:rsid w:val="369F7833"/>
    <w:rsid w:val="37141881"/>
    <w:rsid w:val="3730487C"/>
    <w:rsid w:val="37475511"/>
    <w:rsid w:val="37643666"/>
    <w:rsid w:val="376B1785"/>
    <w:rsid w:val="37C741E5"/>
    <w:rsid w:val="37C8257F"/>
    <w:rsid w:val="37E1486C"/>
    <w:rsid w:val="38036243"/>
    <w:rsid w:val="381E706A"/>
    <w:rsid w:val="388712E7"/>
    <w:rsid w:val="390E411D"/>
    <w:rsid w:val="39377D8C"/>
    <w:rsid w:val="394D1620"/>
    <w:rsid w:val="397615EB"/>
    <w:rsid w:val="39DE20E1"/>
    <w:rsid w:val="39E65EA4"/>
    <w:rsid w:val="3A0544E8"/>
    <w:rsid w:val="3A4C5824"/>
    <w:rsid w:val="3A5E210D"/>
    <w:rsid w:val="3A894931"/>
    <w:rsid w:val="3A933FBF"/>
    <w:rsid w:val="3AA16DD5"/>
    <w:rsid w:val="3AAC512A"/>
    <w:rsid w:val="3AC1342B"/>
    <w:rsid w:val="3AC42A08"/>
    <w:rsid w:val="3ACA068B"/>
    <w:rsid w:val="3B672940"/>
    <w:rsid w:val="3B8002F5"/>
    <w:rsid w:val="3BB54AE1"/>
    <w:rsid w:val="3C2E70F2"/>
    <w:rsid w:val="3CAB26CA"/>
    <w:rsid w:val="3CE10AD8"/>
    <w:rsid w:val="3CE15C7C"/>
    <w:rsid w:val="3D41514F"/>
    <w:rsid w:val="3D4604CE"/>
    <w:rsid w:val="3D4A506B"/>
    <w:rsid w:val="3D66424F"/>
    <w:rsid w:val="3D831785"/>
    <w:rsid w:val="3D8C092C"/>
    <w:rsid w:val="3DA806E6"/>
    <w:rsid w:val="3DEE5FFB"/>
    <w:rsid w:val="3E35393C"/>
    <w:rsid w:val="3E7141A4"/>
    <w:rsid w:val="3F1165DA"/>
    <w:rsid w:val="3F423BB3"/>
    <w:rsid w:val="3F6D00BD"/>
    <w:rsid w:val="4056505F"/>
    <w:rsid w:val="40A54EF9"/>
    <w:rsid w:val="40A72B42"/>
    <w:rsid w:val="413701AD"/>
    <w:rsid w:val="41552421"/>
    <w:rsid w:val="41826572"/>
    <w:rsid w:val="41CA3FDF"/>
    <w:rsid w:val="42055781"/>
    <w:rsid w:val="421B1067"/>
    <w:rsid w:val="4239586C"/>
    <w:rsid w:val="42793CB8"/>
    <w:rsid w:val="428B4B09"/>
    <w:rsid w:val="429F76E2"/>
    <w:rsid w:val="42BE5225"/>
    <w:rsid w:val="42F64158"/>
    <w:rsid w:val="430F28FB"/>
    <w:rsid w:val="4328682D"/>
    <w:rsid w:val="43910563"/>
    <w:rsid w:val="43AD257B"/>
    <w:rsid w:val="44C67C29"/>
    <w:rsid w:val="44D86AFC"/>
    <w:rsid w:val="44FF2AE2"/>
    <w:rsid w:val="45B43F1B"/>
    <w:rsid w:val="45C772D0"/>
    <w:rsid w:val="46783559"/>
    <w:rsid w:val="4684062C"/>
    <w:rsid w:val="46B85EE4"/>
    <w:rsid w:val="46D96BB4"/>
    <w:rsid w:val="47290F63"/>
    <w:rsid w:val="47CB5E54"/>
    <w:rsid w:val="481E00C5"/>
    <w:rsid w:val="48402FFB"/>
    <w:rsid w:val="48672EC8"/>
    <w:rsid w:val="487049F0"/>
    <w:rsid w:val="48EB70B4"/>
    <w:rsid w:val="48F25DD4"/>
    <w:rsid w:val="48F84296"/>
    <w:rsid w:val="49526878"/>
    <w:rsid w:val="495A1A78"/>
    <w:rsid w:val="49842456"/>
    <w:rsid w:val="4A180AEC"/>
    <w:rsid w:val="4A79438D"/>
    <w:rsid w:val="4AF169B7"/>
    <w:rsid w:val="4AF46CEF"/>
    <w:rsid w:val="4B470185"/>
    <w:rsid w:val="4B9B0232"/>
    <w:rsid w:val="4B9D6787"/>
    <w:rsid w:val="4BD602FD"/>
    <w:rsid w:val="4BD60B30"/>
    <w:rsid w:val="4BF01E69"/>
    <w:rsid w:val="4C9400A8"/>
    <w:rsid w:val="4CAF3553"/>
    <w:rsid w:val="4D6A495D"/>
    <w:rsid w:val="4D7E725D"/>
    <w:rsid w:val="4DAA7AC0"/>
    <w:rsid w:val="4E290E96"/>
    <w:rsid w:val="4E322193"/>
    <w:rsid w:val="4E3E39B6"/>
    <w:rsid w:val="4EAA2E4C"/>
    <w:rsid w:val="4EB46533"/>
    <w:rsid w:val="4EE171E0"/>
    <w:rsid w:val="4F2943A8"/>
    <w:rsid w:val="4F7C600E"/>
    <w:rsid w:val="4FCB0133"/>
    <w:rsid w:val="50052260"/>
    <w:rsid w:val="50291264"/>
    <w:rsid w:val="50370A2C"/>
    <w:rsid w:val="507C2221"/>
    <w:rsid w:val="50820A89"/>
    <w:rsid w:val="509E2F88"/>
    <w:rsid w:val="51022C56"/>
    <w:rsid w:val="510B00E0"/>
    <w:rsid w:val="51DE7ED3"/>
    <w:rsid w:val="52AA6BCD"/>
    <w:rsid w:val="52BD39BC"/>
    <w:rsid w:val="53585CFB"/>
    <w:rsid w:val="53D06650"/>
    <w:rsid w:val="53D255E2"/>
    <w:rsid w:val="53F22C00"/>
    <w:rsid w:val="54022513"/>
    <w:rsid w:val="5403413E"/>
    <w:rsid w:val="544C1732"/>
    <w:rsid w:val="545F7FC4"/>
    <w:rsid w:val="546646B7"/>
    <w:rsid w:val="54871A71"/>
    <w:rsid w:val="548A5BCE"/>
    <w:rsid w:val="54B40A9F"/>
    <w:rsid w:val="54F44A97"/>
    <w:rsid w:val="55056148"/>
    <w:rsid w:val="55390C78"/>
    <w:rsid w:val="556F14B6"/>
    <w:rsid w:val="558458E4"/>
    <w:rsid w:val="55856C89"/>
    <w:rsid w:val="55F02F05"/>
    <w:rsid w:val="560D5526"/>
    <w:rsid w:val="562E7E2F"/>
    <w:rsid w:val="5632783E"/>
    <w:rsid w:val="567D4F13"/>
    <w:rsid w:val="569A342F"/>
    <w:rsid w:val="56BC3CCE"/>
    <w:rsid w:val="56EA6FD4"/>
    <w:rsid w:val="56EF1B97"/>
    <w:rsid w:val="57364815"/>
    <w:rsid w:val="57B24EE8"/>
    <w:rsid w:val="57CA0DDB"/>
    <w:rsid w:val="57FF4465"/>
    <w:rsid w:val="58145C97"/>
    <w:rsid w:val="581B5D93"/>
    <w:rsid w:val="585F630E"/>
    <w:rsid w:val="587A4D6B"/>
    <w:rsid w:val="58C37DD9"/>
    <w:rsid w:val="58CC37A1"/>
    <w:rsid w:val="59162B50"/>
    <w:rsid w:val="59233B39"/>
    <w:rsid w:val="59574060"/>
    <w:rsid w:val="597A5AA7"/>
    <w:rsid w:val="59860D11"/>
    <w:rsid w:val="59BD2A03"/>
    <w:rsid w:val="59ED5866"/>
    <w:rsid w:val="5A3D4C66"/>
    <w:rsid w:val="5AB3156A"/>
    <w:rsid w:val="5AEB3F73"/>
    <w:rsid w:val="5B316B7A"/>
    <w:rsid w:val="5B4F0B8B"/>
    <w:rsid w:val="5B5434E8"/>
    <w:rsid w:val="5B5E2260"/>
    <w:rsid w:val="5B5E3B9A"/>
    <w:rsid w:val="5BC418A2"/>
    <w:rsid w:val="5BE766D5"/>
    <w:rsid w:val="5BEB069E"/>
    <w:rsid w:val="5BF216C6"/>
    <w:rsid w:val="5C0A1D9D"/>
    <w:rsid w:val="5C1A179D"/>
    <w:rsid w:val="5C1B4183"/>
    <w:rsid w:val="5C221726"/>
    <w:rsid w:val="5C27617E"/>
    <w:rsid w:val="5C495684"/>
    <w:rsid w:val="5CC76BE0"/>
    <w:rsid w:val="5CF96772"/>
    <w:rsid w:val="5D2B2014"/>
    <w:rsid w:val="5D8F5181"/>
    <w:rsid w:val="5D9F196D"/>
    <w:rsid w:val="5E01136E"/>
    <w:rsid w:val="5E1B6EBA"/>
    <w:rsid w:val="5E254840"/>
    <w:rsid w:val="5E441E08"/>
    <w:rsid w:val="5E5148D5"/>
    <w:rsid w:val="5EAA4C9E"/>
    <w:rsid w:val="5F906D3D"/>
    <w:rsid w:val="5FA00A8B"/>
    <w:rsid w:val="5FCB2DA1"/>
    <w:rsid w:val="5FD03466"/>
    <w:rsid w:val="5FE405F8"/>
    <w:rsid w:val="5FFC796C"/>
    <w:rsid w:val="601C25F8"/>
    <w:rsid w:val="60B36C08"/>
    <w:rsid w:val="610D2453"/>
    <w:rsid w:val="615471B1"/>
    <w:rsid w:val="61547704"/>
    <w:rsid w:val="61585783"/>
    <w:rsid w:val="618001A9"/>
    <w:rsid w:val="61D82089"/>
    <w:rsid w:val="620311A6"/>
    <w:rsid w:val="6210219F"/>
    <w:rsid w:val="62722B72"/>
    <w:rsid w:val="62943F84"/>
    <w:rsid w:val="62A03D42"/>
    <w:rsid w:val="62B67467"/>
    <w:rsid w:val="63386FBA"/>
    <w:rsid w:val="63410290"/>
    <w:rsid w:val="63892BAC"/>
    <w:rsid w:val="638B31BB"/>
    <w:rsid w:val="63AE0360"/>
    <w:rsid w:val="63DE3074"/>
    <w:rsid w:val="63F22B00"/>
    <w:rsid w:val="641217E3"/>
    <w:rsid w:val="643067A5"/>
    <w:rsid w:val="643F55E0"/>
    <w:rsid w:val="64E641C9"/>
    <w:rsid w:val="65834A17"/>
    <w:rsid w:val="65D64B2C"/>
    <w:rsid w:val="65EB61E8"/>
    <w:rsid w:val="661129E6"/>
    <w:rsid w:val="664408B9"/>
    <w:rsid w:val="66443ECD"/>
    <w:rsid w:val="66780A43"/>
    <w:rsid w:val="668B1E3B"/>
    <w:rsid w:val="67282232"/>
    <w:rsid w:val="6769418D"/>
    <w:rsid w:val="67E76B3B"/>
    <w:rsid w:val="682B54F5"/>
    <w:rsid w:val="68345EA9"/>
    <w:rsid w:val="684636BF"/>
    <w:rsid w:val="68797C57"/>
    <w:rsid w:val="687D48A3"/>
    <w:rsid w:val="68C77491"/>
    <w:rsid w:val="68CD5BB4"/>
    <w:rsid w:val="6937681C"/>
    <w:rsid w:val="6982475B"/>
    <w:rsid w:val="69886189"/>
    <w:rsid w:val="69BA0C78"/>
    <w:rsid w:val="6A20127A"/>
    <w:rsid w:val="6A376E25"/>
    <w:rsid w:val="6A5324D1"/>
    <w:rsid w:val="6A5C3939"/>
    <w:rsid w:val="6AA8027D"/>
    <w:rsid w:val="6ABD324C"/>
    <w:rsid w:val="6ACE1DFD"/>
    <w:rsid w:val="6AEA597A"/>
    <w:rsid w:val="6B054224"/>
    <w:rsid w:val="6B1C1409"/>
    <w:rsid w:val="6BA14D3F"/>
    <w:rsid w:val="6BBC20DA"/>
    <w:rsid w:val="6BFF4320"/>
    <w:rsid w:val="6C1E7A68"/>
    <w:rsid w:val="6C266B3E"/>
    <w:rsid w:val="6C3A1CDB"/>
    <w:rsid w:val="6C8F3B3E"/>
    <w:rsid w:val="6C991642"/>
    <w:rsid w:val="6CEB6E95"/>
    <w:rsid w:val="6D400CD2"/>
    <w:rsid w:val="6DB84D72"/>
    <w:rsid w:val="6DBA19F9"/>
    <w:rsid w:val="6DC10ADE"/>
    <w:rsid w:val="6E264054"/>
    <w:rsid w:val="6E2A1FFB"/>
    <w:rsid w:val="6E35386F"/>
    <w:rsid w:val="6E4A131E"/>
    <w:rsid w:val="6EFC2E18"/>
    <w:rsid w:val="6FD34796"/>
    <w:rsid w:val="70294AE4"/>
    <w:rsid w:val="706022D7"/>
    <w:rsid w:val="707C697F"/>
    <w:rsid w:val="70A5031A"/>
    <w:rsid w:val="71063C14"/>
    <w:rsid w:val="710B0143"/>
    <w:rsid w:val="71186953"/>
    <w:rsid w:val="71434CC9"/>
    <w:rsid w:val="71456637"/>
    <w:rsid w:val="7196665B"/>
    <w:rsid w:val="71985432"/>
    <w:rsid w:val="71B72D31"/>
    <w:rsid w:val="71C27838"/>
    <w:rsid w:val="72236963"/>
    <w:rsid w:val="722E0200"/>
    <w:rsid w:val="728763D2"/>
    <w:rsid w:val="733C4253"/>
    <w:rsid w:val="736D553D"/>
    <w:rsid w:val="7424125D"/>
    <w:rsid w:val="742510AC"/>
    <w:rsid w:val="743862B6"/>
    <w:rsid w:val="744E0A54"/>
    <w:rsid w:val="74832336"/>
    <w:rsid w:val="749B132F"/>
    <w:rsid w:val="752E1B15"/>
    <w:rsid w:val="75C925D7"/>
    <w:rsid w:val="7610704F"/>
    <w:rsid w:val="762448C6"/>
    <w:rsid w:val="76260B85"/>
    <w:rsid w:val="7673744E"/>
    <w:rsid w:val="76D25324"/>
    <w:rsid w:val="76EF20D0"/>
    <w:rsid w:val="76F963E0"/>
    <w:rsid w:val="77D71772"/>
    <w:rsid w:val="78284F57"/>
    <w:rsid w:val="78410547"/>
    <w:rsid w:val="78A12F44"/>
    <w:rsid w:val="78B309A0"/>
    <w:rsid w:val="78C6087E"/>
    <w:rsid w:val="78CB198A"/>
    <w:rsid w:val="78FE0116"/>
    <w:rsid w:val="792A71ED"/>
    <w:rsid w:val="793149A0"/>
    <w:rsid w:val="796A669F"/>
    <w:rsid w:val="797E43DF"/>
    <w:rsid w:val="798E010E"/>
    <w:rsid w:val="799702ED"/>
    <w:rsid w:val="79B37741"/>
    <w:rsid w:val="79C55AA0"/>
    <w:rsid w:val="79D40136"/>
    <w:rsid w:val="79E472A0"/>
    <w:rsid w:val="7A127111"/>
    <w:rsid w:val="7A1B18BC"/>
    <w:rsid w:val="7A25767B"/>
    <w:rsid w:val="7A2F6D4C"/>
    <w:rsid w:val="7A665F44"/>
    <w:rsid w:val="7A8A201C"/>
    <w:rsid w:val="7A9F532B"/>
    <w:rsid w:val="7AA01309"/>
    <w:rsid w:val="7ABD01A7"/>
    <w:rsid w:val="7AE078E8"/>
    <w:rsid w:val="7B0D3324"/>
    <w:rsid w:val="7B3869EF"/>
    <w:rsid w:val="7B7E6612"/>
    <w:rsid w:val="7B9904FF"/>
    <w:rsid w:val="7C406C64"/>
    <w:rsid w:val="7C7D6F9D"/>
    <w:rsid w:val="7C845D6E"/>
    <w:rsid w:val="7CF86B27"/>
    <w:rsid w:val="7D2A6364"/>
    <w:rsid w:val="7D3A0135"/>
    <w:rsid w:val="7D6D74D5"/>
    <w:rsid w:val="7D6E1593"/>
    <w:rsid w:val="7DED5D95"/>
    <w:rsid w:val="7DF42EAD"/>
    <w:rsid w:val="7E222493"/>
    <w:rsid w:val="7E380430"/>
    <w:rsid w:val="7E3E2B27"/>
    <w:rsid w:val="7EC47FCC"/>
    <w:rsid w:val="7F4E1422"/>
    <w:rsid w:val="7F67394A"/>
    <w:rsid w:val="7F9A1988"/>
    <w:rsid w:val="7FA63987"/>
    <w:rsid w:val="7FA92A65"/>
    <w:rsid w:val="7FB21ADE"/>
    <w:rsid w:val="7FCC0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3" w:firstLineChars="200"/>
      <w:jc w:val="both"/>
    </w:pPr>
    <w:rPr>
      <w:rFonts w:ascii="Times New Roman" w:hAnsi="Times New Roman" w:eastAsia="仿宋" w:cs="Calibri"/>
      <w:kern w:val="2"/>
      <w:sz w:val="28"/>
      <w:szCs w:val="22"/>
      <w:lang w:val="en-US" w:eastAsia="zh-CN" w:bidi="ar-SA"/>
    </w:rPr>
  </w:style>
  <w:style w:type="paragraph" w:styleId="3">
    <w:name w:val="heading 1"/>
    <w:basedOn w:val="4"/>
    <w:next w:val="1"/>
    <w:link w:val="30"/>
    <w:qFormat/>
    <w:uiPriority w:val="0"/>
    <w:pPr>
      <w:spacing w:before="120" w:after="120" w:line="360" w:lineRule="auto"/>
      <w:outlineLvl w:val="0"/>
    </w:pPr>
    <w:rPr>
      <w:rFonts w:ascii="Calibri" w:hAnsi="Calibri" w:eastAsia="黑体"/>
      <w:b w:val="0"/>
      <w:kern w:val="44"/>
      <w:sz w:val="36"/>
      <w:szCs w:val="44"/>
    </w:rPr>
  </w:style>
  <w:style w:type="paragraph" w:styleId="4">
    <w:name w:val="heading 2"/>
    <w:basedOn w:val="1"/>
    <w:next w:val="1"/>
    <w:link w:val="29"/>
    <w:qFormat/>
    <w:uiPriority w:val="9"/>
    <w:pPr>
      <w:numPr>
        <w:ilvl w:val="0"/>
        <w:numId w:val="1"/>
      </w:numPr>
      <w:spacing w:before="260" w:after="260"/>
      <w:ind w:hanging="420" w:firstLineChars="0"/>
      <w:outlineLvl w:val="1"/>
    </w:pPr>
    <w:rPr>
      <w:rFonts w:ascii="楷体" w:hAnsi="楷体" w:eastAsia="楷体" w:cs="楷体"/>
      <w:b/>
      <w:bCs/>
      <w:sz w:val="30"/>
      <w:szCs w:val="32"/>
    </w:rPr>
  </w:style>
  <w:style w:type="paragraph" w:styleId="5">
    <w:name w:val="heading 3"/>
    <w:basedOn w:val="1"/>
    <w:next w:val="1"/>
    <w:qFormat/>
    <w:uiPriority w:val="0"/>
    <w:pPr>
      <w:spacing w:before="260" w:after="260" w:line="413" w:lineRule="auto"/>
      <w:ind w:firstLine="200"/>
      <w:outlineLvl w:val="2"/>
    </w:pPr>
    <w:rPr>
      <w:rFonts w:eastAsia="仿宋_GB2312"/>
      <w:b/>
      <w:sz w:val="32"/>
      <w:szCs w:val="20"/>
    </w:rPr>
  </w:style>
  <w:style w:type="paragraph" w:styleId="6">
    <w:name w:val="heading 4"/>
    <w:next w:val="1"/>
    <w:unhideWhenUsed/>
    <w:qFormat/>
    <w:uiPriority w:val="9"/>
    <w:pPr>
      <w:keepNext/>
      <w:keepLines/>
      <w:numPr>
        <w:ilvl w:val="0"/>
        <w:numId w:val="2"/>
      </w:numPr>
      <w:spacing w:line="415" w:lineRule="auto"/>
      <w:ind w:right="100" w:rightChars="100"/>
      <w:outlineLvl w:val="3"/>
    </w:pPr>
    <w:rPr>
      <w:rFonts w:ascii="等线 Light" w:hAnsi="等线 Light" w:eastAsia="仿宋" w:cs="Times New Roman"/>
      <w:bCs/>
      <w:kern w:val="2"/>
      <w:sz w:val="28"/>
      <w:szCs w:val="28"/>
      <w:lang w:val="en-US" w:eastAsia="zh-CN" w:bidi="ar-SA"/>
    </w:rPr>
  </w:style>
  <w:style w:type="paragraph" w:styleId="7">
    <w:name w:val="heading 5"/>
    <w:basedOn w:val="1"/>
    <w:next w:val="1"/>
    <w:link w:val="27"/>
    <w:unhideWhenUsed/>
    <w:qFormat/>
    <w:uiPriority w:val="0"/>
    <w:pPr>
      <w:keepNext/>
      <w:keepLines/>
      <w:spacing w:before="280" w:after="290" w:line="376" w:lineRule="auto"/>
      <w:outlineLvl w:val="4"/>
    </w:pPr>
    <w:rPr>
      <w:b/>
      <w:bCs/>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8">
    <w:name w:val="annotation text"/>
    <w:basedOn w:val="1"/>
    <w:link w:val="32"/>
    <w:qFormat/>
    <w:uiPriority w:val="0"/>
    <w:pPr>
      <w:jc w:val="left"/>
    </w:pPr>
  </w:style>
  <w:style w:type="paragraph" w:styleId="9">
    <w:name w:val="Balloon Text"/>
    <w:basedOn w:val="1"/>
    <w:next w:val="1"/>
    <w:unhideWhenUsed/>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Title"/>
    <w:basedOn w:val="1"/>
    <w:next w:val="1"/>
    <w:link w:val="26"/>
    <w:qFormat/>
    <w:uiPriority w:val="0"/>
    <w:pPr>
      <w:spacing w:before="240" w:after="60"/>
      <w:jc w:val="center"/>
      <w:outlineLvl w:val="0"/>
    </w:pPr>
    <w:rPr>
      <w:rFonts w:asciiTheme="majorHAnsi" w:hAnsiTheme="majorHAnsi" w:eastAsiaTheme="majorEastAsia" w:cstheme="majorBidi"/>
      <w:b/>
      <w:bCs/>
      <w:sz w:val="32"/>
      <w:szCs w:val="32"/>
    </w:rPr>
  </w:style>
  <w:style w:type="paragraph" w:styleId="16">
    <w:name w:val="annotation subject"/>
    <w:basedOn w:val="8"/>
    <w:next w:val="8"/>
    <w:link w:val="33"/>
    <w:qFormat/>
    <w:uiPriority w:val="0"/>
    <w:rPr>
      <w:b/>
      <w:bCs/>
    </w:rPr>
  </w:style>
  <w:style w:type="character" w:styleId="19">
    <w:name w:val="annotation reference"/>
    <w:basedOn w:val="18"/>
    <w:qFormat/>
    <w:uiPriority w:val="0"/>
    <w:rPr>
      <w:sz w:val="21"/>
      <w:szCs w:val="21"/>
    </w:rPr>
  </w:style>
  <w:style w:type="paragraph" w:customStyle="1" w:styleId="20">
    <w:name w:val="Char Char Char Char Char Char Char Char Char Char Char Char Char Char Char Char Char Char Char Char Char Char Char Char Char Char Char Char Char Char"/>
    <w:basedOn w:val="1"/>
    <w:qFormat/>
    <w:uiPriority w:val="0"/>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paragraph" w:styleId="22">
    <w:name w:val="List Paragraph"/>
    <w:basedOn w:val="1"/>
    <w:qFormat/>
    <w:uiPriority w:val="99"/>
    <w:pPr>
      <w:ind w:firstLine="420"/>
    </w:pPr>
  </w:style>
  <w:style w:type="character" w:customStyle="1" w:styleId="23">
    <w:name w:val="font31"/>
    <w:basedOn w:val="18"/>
    <w:qFormat/>
    <w:uiPriority w:val="0"/>
    <w:rPr>
      <w:rFonts w:hint="default" w:ascii="Times New Roman" w:hAnsi="Times New Roman" w:cs="Times New Roman"/>
      <w:b/>
      <w:bCs/>
      <w:color w:val="000000"/>
      <w:sz w:val="21"/>
      <w:szCs w:val="21"/>
      <w:u w:val="none"/>
    </w:rPr>
  </w:style>
  <w:style w:type="character" w:customStyle="1" w:styleId="24">
    <w:name w:val="font21"/>
    <w:basedOn w:val="18"/>
    <w:qFormat/>
    <w:uiPriority w:val="0"/>
    <w:rPr>
      <w:rFonts w:ascii="仿宋" w:hAnsi="仿宋" w:eastAsia="仿宋" w:cs="仿宋"/>
      <w:color w:val="000000"/>
      <w:sz w:val="21"/>
      <w:szCs w:val="21"/>
      <w:u w:val="none"/>
    </w:rPr>
  </w:style>
  <w:style w:type="character" w:customStyle="1" w:styleId="25">
    <w:name w:val="页脚 字符"/>
    <w:basedOn w:val="18"/>
    <w:link w:val="10"/>
    <w:qFormat/>
    <w:uiPriority w:val="99"/>
    <w:rPr>
      <w:rFonts w:eastAsia="仿宋" w:cs="Calibri"/>
      <w:kern w:val="2"/>
      <w:sz w:val="18"/>
      <w:szCs w:val="22"/>
    </w:rPr>
  </w:style>
  <w:style w:type="character" w:customStyle="1" w:styleId="26">
    <w:name w:val="标题 字符"/>
    <w:basedOn w:val="18"/>
    <w:link w:val="15"/>
    <w:qFormat/>
    <w:uiPriority w:val="0"/>
    <w:rPr>
      <w:rFonts w:asciiTheme="majorHAnsi" w:hAnsiTheme="majorHAnsi" w:eastAsiaTheme="majorEastAsia" w:cstheme="majorBidi"/>
      <w:b/>
      <w:bCs/>
      <w:kern w:val="2"/>
      <w:sz w:val="32"/>
      <w:szCs w:val="32"/>
    </w:rPr>
  </w:style>
  <w:style w:type="character" w:customStyle="1" w:styleId="27">
    <w:name w:val="标题 5 字符"/>
    <w:basedOn w:val="18"/>
    <w:link w:val="7"/>
    <w:qFormat/>
    <w:uiPriority w:val="0"/>
    <w:rPr>
      <w:rFonts w:eastAsia="仿宋" w:cs="Calibri"/>
      <w:b/>
      <w:bCs/>
      <w:kern w:val="2"/>
      <w:sz w:val="28"/>
      <w:szCs w:val="28"/>
    </w:rPr>
  </w:style>
  <w:style w:type="paragraph" w:customStyle="1" w:styleId="28">
    <w:name w:val="标题1"/>
    <w:basedOn w:val="3"/>
    <w:next w:val="3"/>
    <w:link w:val="31"/>
    <w:qFormat/>
    <w:uiPriority w:val="0"/>
    <w:pPr>
      <w:numPr>
        <w:ilvl w:val="0"/>
        <w:numId w:val="3"/>
      </w:numPr>
      <w:pPrChange w:id="0" w:author="caichao" w:date="2021-06-09T16:42:00Z">
        <w:pPr>
          <w:widowControl w:val="0"/>
          <w:numPr>
            <w:numId w:val="3"/>
          </w:numPr>
          <w:spacing w:before="120" w:after="120" w:line="360" w:lineRule="auto"/>
          <w:ind w:left="420" w:hanging="420"/>
          <w:jc w:val="both"/>
          <w:outlineLvl w:val="0"/>
        </w:pPr>
      </w:pPrChange>
    </w:pPr>
    <w:rPr>
      <w:rPrChange w:id="1" w:author="caichao" w:date="2021-06-09T16:42:00Z">
        <w:rPr>
          <w:rFonts w:ascii="Calibri" w:hAnsi="Calibri" w:eastAsia="黑体" w:cs="楷体"/>
          <w:bCs/>
          <w:kern w:val="44"/>
          <w:sz w:val="36"/>
          <w:szCs w:val="44"/>
          <w:lang w:val="en-US" w:eastAsia="zh-CN" w:bidi="ar-SA"/>
        </w:rPr>
      </w:rPrChange>
    </w:rPr>
  </w:style>
  <w:style w:type="character" w:customStyle="1" w:styleId="29">
    <w:name w:val="标题 2 字符"/>
    <w:basedOn w:val="18"/>
    <w:link w:val="4"/>
    <w:qFormat/>
    <w:uiPriority w:val="9"/>
    <w:rPr>
      <w:rFonts w:ascii="楷体" w:hAnsi="楷体" w:eastAsia="楷体" w:cs="楷体"/>
      <w:b/>
      <w:bCs/>
      <w:kern w:val="2"/>
      <w:sz w:val="30"/>
      <w:szCs w:val="32"/>
    </w:rPr>
  </w:style>
  <w:style w:type="character" w:customStyle="1" w:styleId="30">
    <w:name w:val="标题 1 字符"/>
    <w:basedOn w:val="29"/>
    <w:link w:val="3"/>
    <w:qFormat/>
    <w:uiPriority w:val="0"/>
    <w:rPr>
      <w:rFonts w:ascii="Calibri" w:hAnsi="Calibri" w:eastAsia="黑体" w:cs="楷体"/>
      <w:b w:val="0"/>
      <w:kern w:val="44"/>
      <w:sz w:val="36"/>
      <w:szCs w:val="44"/>
    </w:rPr>
  </w:style>
  <w:style w:type="character" w:customStyle="1" w:styleId="31">
    <w:name w:val="标题1 字符"/>
    <w:basedOn w:val="30"/>
    <w:link w:val="28"/>
    <w:qFormat/>
    <w:uiPriority w:val="0"/>
    <w:rPr>
      <w:rFonts w:ascii="Calibri" w:hAnsi="Calibri" w:eastAsia="黑体" w:cs="楷体"/>
      <w:kern w:val="44"/>
      <w:sz w:val="36"/>
      <w:szCs w:val="44"/>
    </w:rPr>
  </w:style>
  <w:style w:type="character" w:customStyle="1" w:styleId="32">
    <w:name w:val="批注文字 字符"/>
    <w:basedOn w:val="18"/>
    <w:link w:val="8"/>
    <w:qFormat/>
    <w:uiPriority w:val="0"/>
    <w:rPr>
      <w:rFonts w:eastAsia="仿宋" w:cs="Calibri"/>
      <w:kern w:val="2"/>
      <w:sz w:val="28"/>
      <w:szCs w:val="22"/>
    </w:rPr>
  </w:style>
  <w:style w:type="character" w:customStyle="1" w:styleId="33">
    <w:name w:val="批注主题 字符"/>
    <w:basedOn w:val="32"/>
    <w:link w:val="16"/>
    <w:qFormat/>
    <w:uiPriority w:val="0"/>
    <w:rPr>
      <w:rFonts w:eastAsia="仿宋" w:cs="Calibri"/>
      <w:b/>
      <w:bCs/>
      <w:kern w:val="2"/>
      <w:sz w:val="28"/>
      <w:szCs w:val="22"/>
    </w:rPr>
  </w:style>
  <w:style w:type="paragraph" w:customStyle="1" w:styleId="34">
    <w:name w:val="修订1"/>
    <w:hidden/>
    <w:semiHidden/>
    <w:qFormat/>
    <w:uiPriority w:val="99"/>
    <w:rPr>
      <w:rFonts w:ascii="Times New Roman" w:hAnsi="Times New Roman" w:eastAsia="仿宋" w:cs="Calibri"/>
      <w:kern w:val="2"/>
      <w:sz w:val="28"/>
      <w:szCs w:val="22"/>
      <w:lang w:val="en-US" w:eastAsia="zh-CN" w:bidi="ar-SA"/>
    </w:rPr>
  </w:style>
  <w:style w:type="paragraph" w:customStyle="1" w:styleId="35">
    <w:name w:val="qowt-stl-正文"/>
    <w:basedOn w:val="1"/>
    <w:qFormat/>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character" w:customStyle="1" w:styleId="36">
    <w:name w:val="qowt-font8-gb2312"/>
    <w:basedOn w:val="18"/>
    <w:qFormat/>
    <w:uiPriority w:val="0"/>
  </w:style>
  <w:style w:type="character" w:customStyle="1" w:styleId="37">
    <w:name w:val="font01"/>
    <w:basedOn w:val="18"/>
    <w:qFormat/>
    <w:uiPriority w:val="0"/>
    <w:rPr>
      <w:rFonts w:ascii="仿宋" w:hAnsi="仿宋" w:eastAsia="仿宋" w:cs="仿宋"/>
      <w:color w:val="000000"/>
      <w:sz w:val="21"/>
      <w:szCs w:val="21"/>
      <w:u w:val="none"/>
    </w:rPr>
  </w:style>
  <w:style w:type="character" w:customStyle="1" w:styleId="38">
    <w:name w:val="font11"/>
    <w:basedOn w:val="18"/>
    <w:qFormat/>
    <w:uiPriority w:val="0"/>
    <w:rPr>
      <w:rFonts w:ascii="仿宋" w:hAnsi="仿宋" w:eastAsia="仿宋" w:cs="仿宋"/>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C2ED0-F2B3-4503-922C-F3638B2A0319}">
  <ds:schemaRefs/>
</ds:datastoreItem>
</file>

<file path=docProps/app.xml><?xml version="1.0" encoding="utf-8"?>
<Properties xmlns="http://schemas.openxmlformats.org/officeDocument/2006/extended-properties" xmlns:vt="http://schemas.openxmlformats.org/officeDocument/2006/docPropsVTypes">
  <Template>Normal</Template>
  <Pages>20</Pages>
  <Words>7860</Words>
  <Characters>9607</Characters>
  <Lines>97</Lines>
  <Paragraphs>27</Paragraphs>
  <TotalTime>38</TotalTime>
  <ScaleCrop>false</ScaleCrop>
  <LinksUpToDate>false</LinksUpToDate>
  <CharactersWithSpaces>9613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2021-06-17T05:06:00Z</dcterms:created>
  <dc:creator>CST</dc:creator>
  <cp:lastModifiedBy>CST</cp:lastModifiedBy>
  <dcterms:modified xsi:type="dcterms:W3CDTF">2022-05-10T04:46:12Z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A0C3A86B612F43E883DBA5D735E7A556</vt:lpwstr>
  </property>
</Properties>
</file>