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autofit"/>
        <w:tblCellMar>
          <w:top w:w="15" w:type="dxa"/>
          <w:left w:w="15" w:type="dxa"/>
          <w:bottom w:w="15" w:type="dxa"/>
          <w:right w:w="15" w:type="dxa"/>
        </w:tblCellMar>
      </w:tblPr>
      <w:tblGrid>
        <w:gridCol w:w="535"/>
        <w:gridCol w:w="1461"/>
        <w:gridCol w:w="453"/>
        <w:gridCol w:w="1130"/>
        <w:gridCol w:w="770"/>
        <w:gridCol w:w="477"/>
        <w:gridCol w:w="877"/>
        <w:gridCol w:w="939"/>
        <w:gridCol w:w="665"/>
        <w:gridCol w:w="976"/>
        <w:gridCol w:w="584"/>
        <w:gridCol w:w="453"/>
        <w:gridCol w:w="800"/>
        <w:gridCol w:w="1147"/>
        <w:gridCol w:w="545"/>
        <w:gridCol w:w="465"/>
        <w:gridCol w:w="1711"/>
      </w:tblGrid>
      <w:tr>
        <w:tblPrEx>
          <w:tblCellMar>
            <w:top w:w="15" w:type="dxa"/>
            <w:left w:w="15" w:type="dxa"/>
            <w:bottom w:w="15" w:type="dxa"/>
            <w:right w:w="15" w:type="dxa"/>
          </w:tblCellMar>
        </w:tblPrEx>
        <w:trPr>
          <w:trHeight w:val="750" w:hRule="atLeast"/>
        </w:trPr>
        <w:tc>
          <w:tcPr>
            <w:tcW w:w="0" w:type="auto"/>
            <w:gridSpan w:val="17"/>
            <w:noWrap w:val="0"/>
            <w:vAlign w:val="center"/>
          </w:tcPr>
          <w:p>
            <w:pPr>
              <w:widowControl/>
              <w:ind w:firstLine="2168" w:firstLineChars="450"/>
              <w:textAlignment w:val="center"/>
              <w:rPr>
                <w:rFonts w:hint="eastAsia" w:ascii="宋体" w:hAnsi="宋体" w:cs="宋体"/>
                <w:b/>
                <w:color w:val="000000"/>
                <w:sz w:val="48"/>
                <w:szCs w:val="48"/>
              </w:rPr>
            </w:pPr>
            <w:bookmarkStart w:id="0" w:name="_GoBack"/>
            <w:r>
              <w:rPr>
                <w:rFonts w:hint="eastAsia" w:ascii="宋体" w:hAnsi="宋体" w:cs="宋体"/>
                <w:b/>
                <w:color w:val="000000"/>
                <w:kern w:val="0"/>
                <w:sz w:val="48"/>
                <w:szCs w:val="48"/>
                <w:lang w:bidi="ar"/>
              </w:rPr>
              <w:t>2020年第2期高明区公有资产物业状况明细表</w:t>
            </w:r>
            <w:bookmarkEnd w:id="0"/>
          </w:p>
        </w:tc>
      </w:tr>
      <w:tr>
        <w:tblPrEx>
          <w:tblCellMar>
            <w:top w:w="0" w:type="dxa"/>
            <w:left w:w="108" w:type="dxa"/>
            <w:bottom w:w="0" w:type="dxa"/>
            <w:right w:w="108" w:type="dxa"/>
          </w:tblCellMar>
        </w:tblPrEx>
        <w:trPr>
          <w:wAfter w:w="0" w:type="auto"/>
          <w:trHeight w:val="525" w:hRule="atLeast"/>
        </w:trPr>
        <w:tc>
          <w:tcPr>
            <w:tcW w:w="0" w:type="auto"/>
            <w:gridSpan w:val="8"/>
            <w:tcBorders>
              <w:top w:val="nil"/>
              <w:left w:val="nil"/>
              <w:bottom w:val="single" w:color="auto" w:sz="4" w:space="0"/>
              <w:right w:val="nil"/>
            </w:tcBorders>
            <w:noWrap w:val="0"/>
            <w:vAlign w:val="center"/>
          </w:tcPr>
          <w:p>
            <w:pPr>
              <w:widowControl/>
              <w:jc w:val="left"/>
              <w:rPr>
                <w:rFonts w:hint="eastAsia" w:ascii="宋体" w:hAnsi="宋体" w:cs="宋体"/>
                <w:kern w:val="0"/>
                <w:sz w:val="32"/>
                <w:szCs w:val="32"/>
              </w:rPr>
            </w:pPr>
            <w:r>
              <w:rPr>
                <w:rFonts w:hint="eastAsia" w:ascii="宋体" w:hAnsi="宋体" w:cs="宋体"/>
                <w:kern w:val="0"/>
                <w:sz w:val="32"/>
                <w:szCs w:val="32"/>
              </w:rPr>
              <w:t>委托单位：佛山市高明区沧江物业管理有限公司</w:t>
            </w:r>
          </w:p>
        </w:tc>
        <w:tc>
          <w:tcPr>
            <w:tcW w:w="0" w:type="auto"/>
            <w:tcBorders>
              <w:top w:val="nil"/>
              <w:left w:val="nil"/>
              <w:bottom w:val="single" w:color="auto" w:sz="4" w:space="0"/>
              <w:right w:val="nil"/>
            </w:tcBorders>
            <w:noWrap w:val="0"/>
            <w:vAlign w:val="center"/>
          </w:tcPr>
          <w:p>
            <w:pPr>
              <w:widowControl/>
              <w:jc w:val="left"/>
              <w:rPr>
                <w:rFonts w:hint="eastAsia" w:ascii="宋体" w:hAnsi="宋体" w:cs="宋体"/>
                <w:kern w:val="0"/>
                <w:sz w:val="32"/>
                <w:szCs w:val="32"/>
              </w:rPr>
            </w:pPr>
            <w:r>
              <w:rPr>
                <w:rFonts w:hint="eastAsia" w:ascii="宋体" w:hAnsi="宋体" w:cs="宋体"/>
                <w:kern w:val="0"/>
                <w:sz w:val="32"/>
                <w:szCs w:val="32"/>
              </w:rPr>
              <w:t>　</w:t>
            </w:r>
          </w:p>
        </w:tc>
        <w:tc>
          <w:tcPr>
            <w:tcW w:w="0" w:type="auto"/>
            <w:gridSpan w:val="3"/>
            <w:tcBorders>
              <w:top w:val="nil"/>
              <w:left w:val="nil"/>
              <w:bottom w:val="single" w:color="auto" w:sz="4" w:space="0"/>
              <w:right w:val="nil"/>
            </w:tcBorders>
            <w:noWrap w:val="0"/>
            <w:vAlign w:val="center"/>
          </w:tcPr>
          <w:p>
            <w:pPr>
              <w:widowControl/>
              <w:jc w:val="center"/>
              <w:rPr>
                <w:rFonts w:hint="eastAsia" w:ascii="宋体" w:hAnsi="宋体" w:cs="宋体"/>
                <w:kern w:val="0"/>
                <w:sz w:val="32"/>
                <w:szCs w:val="32"/>
              </w:rPr>
            </w:pPr>
            <w:r>
              <w:rPr>
                <w:rFonts w:hint="eastAsia" w:ascii="宋体" w:hAnsi="宋体" w:cs="宋体"/>
                <w:kern w:val="0"/>
                <w:sz w:val="32"/>
                <w:szCs w:val="32"/>
              </w:rPr>
              <w:t>　</w:t>
            </w:r>
          </w:p>
        </w:tc>
        <w:tc>
          <w:tcPr>
            <w:tcW w:w="0" w:type="auto"/>
            <w:tcBorders>
              <w:top w:val="nil"/>
              <w:left w:val="nil"/>
              <w:bottom w:val="single" w:color="auto" w:sz="4" w:space="0"/>
              <w:right w:val="nil"/>
            </w:tcBorders>
            <w:noWrap w:val="0"/>
            <w:vAlign w:val="center"/>
          </w:tcPr>
          <w:p>
            <w:pPr>
              <w:widowControl/>
              <w:jc w:val="center"/>
              <w:rPr>
                <w:rFonts w:hint="eastAsia" w:ascii="宋体" w:hAnsi="宋体" w:cs="宋体"/>
                <w:kern w:val="0"/>
                <w:sz w:val="32"/>
                <w:szCs w:val="32"/>
              </w:rPr>
            </w:pPr>
            <w:r>
              <w:rPr>
                <w:rFonts w:hint="eastAsia" w:ascii="宋体" w:hAnsi="宋体" w:cs="宋体"/>
                <w:kern w:val="0"/>
                <w:sz w:val="32"/>
                <w:szCs w:val="32"/>
              </w:rPr>
              <w:t>　</w:t>
            </w:r>
          </w:p>
        </w:tc>
        <w:tc>
          <w:tcPr>
            <w:tcW w:w="0" w:type="auto"/>
            <w:tcBorders>
              <w:top w:val="nil"/>
              <w:left w:val="nil"/>
              <w:bottom w:val="single" w:color="auto" w:sz="4" w:space="0"/>
              <w:right w:val="nil"/>
            </w:tcBorders>
            <w:noWrap w:val="0"/>
            <w:vAlign w:val="center"/>
          </w:tcPr>
          <w:p>
            <w:pPr>
              <w:widowControl/>
              <w:jc w:val="left"/>
              <w:rPr>
                <w:rFonts w:hint="eastAsia" w:ascii="宋体" w:hAnsi="宋体" w:cs="宋体"/>
                <w:b/>
                <w:bCs/>
                <w:kern w:val="0"/>
                <w:sz w:val="32"/>
                <w:szCs w:val="32"/>
              </w:rPr>
            </w:pPr>
            <w:r>
              <w:rPr>
                <w:rFonts w:hint="eastAsia" w:ascii="宋体" w:hAnsi="宋体" w:cs="宋体"/>
                <w:b/>
                <w:bCs/>
                <w:kern w:val="0"/>
                <w:sz w:val="32"/>
                <w:szCs w:val="32"/>
              </w:rPr>
              <w:t>　</w:t>
            </w:r>
          </w:p>
        </w:tc>
        <w:tc>
          <w:tcPr>
            <w:tcW w:w="0" w:type="auto"/>
            <w:tcBorders>
              <w:top w:val="nil"/>
              <w:left w:val="nil"/>
              <w:bottom w:val="single" w:color="auto" w:sz="4" w:space="0"/>
              <w:right w:val="nil"/>
            </w:tcBorders>
            <w:noWrap w:val="0"/>
            <w:vAlign w:val="center"/>
          </w:tcPr>
          <w:p>
            <w:pPr>
              <w:widowControl/>
              <w:jc w:val="left"/>
              <w:rPr>
                <w:rFonts w:hint="eastAsia" w:ascii="宋体" w:hAnsi="宋体" w:cs="宋体"/>
                <w:b/>
                <w:bCs/>
                <w:kern w:val="0"/>
                <w:sz w:val="32"/>
                <w:szCs w:val="32"/>
              </w:rPr>
            </w:pPr>
            <w:r>
              <w:rPr>
                <w:rFonts w:hint="eastAsia" w:ascii="宋体" w:hAnsi="宋体" w:cs="宋体"/>
                <w:b/>
                <w:bCs/>
                <w:kern w:val="0"/>
                <w:sz w:val="32"/>
                <w:szCs w:val="32"/>
              </w:rPr>
              <w:t>　</w:t>
            </w:r>
          </w:p>
        </w:tc>
        <w:tc>
          <w:tcPr>
            <w:tcW w:w="0" w:type="auto"/>
            <w:tcBorders>
              <w:top w:val="nil"/>
              <w:left w:val="nil"/>
              <w:bottom w:val="single" w:color="auto" w:sz="4" w:space="0"/>
              <w:right w:val="nil"/>
            </w:tcBorders>
            <w:noWrap w:val="0"/>
            <w:vAlign w:val="center"/>
          </w:tcPr>
          <w:p>
            <w:pPr>
              <w:widowControl/>
              <w:jc w:val="left"/>
              <w:rPr>
                <w:rFonts w:hint="eastAsia" w:ascii="宋体" w:hAnsi="宋体" w:cs="宋体"/>
                <w:b/>
                <w:bCs/>
                <w:kern w:val="0"/>
                <w:sz w:val="32"/>
                <w:szCs w:val="32"/>
              </w:rPr>
            </w:pPr>
            <w:r>
              <w:rPr>
                <w:rFonts w:hint="eastAsia" w:ascii="宋体" w:hAnsi="宋体" w:cs="宋体"/>
                <w:b/>
                <w:bCs/>
                <w:kern w:val="0"/>
                <w:sz w:val="32"/>
                <w:szCs w:val="32"/>
              </w:rPr>
              <w:t>　</w:t>
            </w:r>
          </w:p>
        </w:tc>
        <w:tc>
          <w:tcPr>
            <w:tcW w:w="0" w:type="auto"/>
            <w:tcBorders>
              <w:top w:val="nil"/>
              <w:left w:val="nil"/>
              <w:bottom w:val="single" w:color="auto" w:sz="4" w:space="0"/>
              <w:right w:val="nil"/>
            </w:tcBorders>
            <w:noWrap w:val="0"/>
            <w:vAlign w:val="center"/>
          </w:tcPr>
          <w:p>
            <w:pPr>
              <w:widowControl/>
              <w:jc w:val="left"/>
              <w:rPr>
                <w:rFonts w:hint="eastAsia" w:ascii="宋体" w:hAnsi="宋体" w:cs="宋体"/>
                <w:b/>
                <w:bCs/>
                <w:kern w:val="0"/>
                <w:sz w:val="32"/>
                <w:szCs w:val="32"/>
              </w:rPr>
            </w:pPr>
            <w:r>
              <w:rPr>
                <w:rFonts w:hint="eastAsia" w:ascii="宋体" w:hAnsi="宋体" w:cs="宋体"/>
                <w:b/>
                <w:bCs/>
                <w:kern w:val="0"/>
                <w:sz w:val="32"/>
                <w:szCs w:val="32"/>
              </w:rPr>
              <w:t>　</w:t>
            </w:r>
          </w:p>
        </w:tc>
      </w:tr>
      <w:tr>
        <w:tblPrEx>
          <w:tblCellMar>
            <w:top w:w="0" w:type="dxa"/>
            <w:left w:w="108" w:type="dxa"/>
            <w:bottom w:w="0" w:type="dxa"/>
            <w:right w:w="108" w:type="dxa"/>
          </w:tblCellMar>
        </w:tblPrEx>
        <w:trPr>
          <w:wAfter w:w="0" w:type="auto"/>
          <w:trHeight w:val="1050" w:hRule="atLeast"/>
        </w:trPr>
        <w:tc>
          <w:tcPr>
            <w:tcW w:w="0" w:type="auto"/>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cs="宋体"/>
                <w:kern w:val="0"/>
                <w:sz w:val="20"/>
              </w:rPr>
            </w:pPr>
            <w:r>
              <w:rPr>
                <w:rFonts w:hint="eastAsia" w:ascii="宋体" w:hAnsi="宋体" w:cs="宋体"/>
                <w:kern w:val="0"/>
                <w:sz w:val="20"/>
              </w:rPr>
              <w:t>序号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物业名称（地址）</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物业现状</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建筑面积(㎡)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用途（商铺/办公室/仓库/住房）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是否有产权证</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竞租保证金（元）</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月租金底价（起拍价）（元）</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竞拍单次增幅</w:t>
            </w:r>
            <w:r>
              <w:rPr>
                <w:rFonts w:hint="eastAsia" w:ascii="宋体" w:hAnsi="宋体" w:cs="宋体"/>
                <w:kern w:val="0"/>
                <w:sz w:val="20"/>
              </w:rPr>
              <w:br w:type="textWrapping"/>
            </w:r>
            <w:r>
              <w:rPr>
                <w:rFonts w:hint="eastAsia" w:ascii="宋体" w:hAnsi="宋体" w:cs="宋体"/>
                <w:kern w:val="0"/>
                <w:sz w:val="20"/>
              </w:rPr>
              <w:t>（元/月）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租期（年）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年租金   递增%</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缴租方式</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其他设定条件（租赁用途、物管费等）</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原合同到期时间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物业交付期限</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是否有水电</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备注</w:t>
            </w:r>
          </w:p>
        </w:tc>
      </w:tr>
      <w:tr>
        <w:tblPrEx>
          <w:tblCellMar>
            <w:top w:w="0" w:type="dxa"/>
            <w:left w:w="108" w:type="dxa"/>
            <w:bottom w:w="0" w:type="dxa"/>
            <w:right w:w="108" w:type="dxa"/>
          </w:tblCellMar>
        </w:tblPrEx>
        <w:trPr>
          <w:wAfter w:w="0" w:type="auto"/>
          <w:trHeight w:val="87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高明区荷城街道宜家路68号二层p2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274.5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办公室</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22500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租赁合同押金：月租金中标价3倍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签署合同后即可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After w:w="0" w:type="auto"/>
          <w:trHeight w:val="87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高明区荷城街道莲花路33号首层第5、6卡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办公室</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租赁合同押金：月租金中标价3倍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2020.9.30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合同期满后即可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After w:w="0" w:type="auto"/>
          <w:trHeight w:val="87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高明区荷城街道荷花巷20号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18000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租赁合同押金：月租金中标价3倍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签署合同后即可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After w:w="0" w:type="auto"/>
          <w:trHeight w:val="132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荷城街道文明路243―1号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首层186.86二层126.69</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114000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38000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每2年递增5%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租赁合同押金：月租金中标价3倍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招租成功后即可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After w:w="0" w:type="auto"/>
          <w:trHeight w:val="9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高明区荷城街道文华路209号首层东起第五卡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40.04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8400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2800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每2年递增5%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租赁合同押金：月租金中标价3倍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招租成功后即可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After w:w="0" w:type="auto"/>
          <w:trHeight w:val="9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高明区荷城街道文华路209号首层东起第六、七卡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65.33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12600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4200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每2年递增5%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租赁合同押金：月租金中标价3倍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招租成功后即可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After w:w="0" w:type="auto"/>
          <w:trHeight w:val="152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杨和镇红梅路12号(土地)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1700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土地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7650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2020.7.31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合同期满后15个工作日内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76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更合镇合水西昌街</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110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9030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3010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2020.7.31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合同期满后15个工作日内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33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荷城街道文华路升华巷1号2座</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10230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3410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2020.8.20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合同期满后15个工作日内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荷城街道荷美街48、50、52、54、56号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72.9</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11160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3720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2020.8.4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合同期满后15个工作日内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9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11</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更合镇工业大道508号3座102号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5400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1800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68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高明区荷城街道荷香路549号荷城市场周边第15卡商铺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32.3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15900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5300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0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13</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高明区荷城街道荷香路549号荷城市场周边第8卡商铺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43.7</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16500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309"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14</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荷城街道文华路福宁巷1号1座201、202及303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312.04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2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荷城街道文昌路38号首层从北至南第一卡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9900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3300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4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16</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荷城街道文华路永昌巷2号1梯202房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108.08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2400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17</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高明区更合镇工业大道533号（二层）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560.53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13500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8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18</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更楼镇顺景街11号（两层）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170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29"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19</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荷城跃华路朋锋巷4号（三层）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6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荷城街道荷香路218号1梯701房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90.72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325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21</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荷城街道荷香路218号1梯702房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69.15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4814"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22</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荷城街道荷香路218号1梯703房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63.28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856"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23</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荷城街道荷香路218号1梯801房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90.72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每季</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成功招租后15个工作日内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8241"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高明区荷城街道跃华路怡安巷18号C座首层1—3卡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经商</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3282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2020.5.20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2.须与原租户交接用电手续或自费开通。</w:t>
            </w:r>
            <w:r>
              <w:rPr>
                <w:rFonts w:hint="eastAsia" w:ascii="宋体" w:hAnsi="宋体" w:cs="宋体"/>
                <w:kern w:val="0"/>
                <w:sz w:val="20"/>
              </w:rPr>
              <w:br w:type="textWrapping"/>
            </w:r>
            <w:r>
              <w:rPr>
                <w:rFonts w:hint="eastAsia" w:ascii="宋体" w:hAnsi="宋体" w:cs="宋体"/>
                <w:kern w:val="0"/>
                <w:sz w:val="20"/>
              </w:rPr>
              <w:t>3.未装水表，需安装水表，开通用水，费用自理。</w:t>
            </w:r>
            <w:r>
              <w:rPr>
                <w:rFonts w:hint="eastAsia" w:ascii="宋体" w:hAnsi="宋体" w:cs="宋体"/>
                <w:kern w:val="0"/>
                <w:sz w:val="20"/>
              </w:rPr>
              <w:br w:type="textWrapping"/>
            </w:r>
            <w:r>
              <w:rPr>
                <w:rFonts w:hint="eastAsia" w:ascii="宋体" w:hAnsi="宋体" w:cs="宋体"/>
                <w:kern w:val="0"/>
                <w:sz w:val="20"/>
              </w:rPr>
              <w:t>4.不得从事机修、加工、餐饮、危险化学品、放射性物品、旅业、典当业、网吧、按摩服务业、酒城酒吧、歌舞娱乐、游戏游艺等娱乐业、民用爆炸物品、烟花爆竹以及列入佛山市投资准入负面清单的行业；</w:t>
            </w:r>
            <w:r>
              <w:rPr>
                <w:rFonts w:hint="eastAsia" w:ascii="宋体" w:hAnsi="宋体" w:cs="宋体"/>
                <w:kern w:val="0"/>
                <w:sz w:val="20"/>
              </w:rPr>
              <w:br w:type="textWrapping"/>
            </w:r>
            <w:r>
              <w:rPr>
                <w:rFonts w:hint="eastAsia" w:ascii="宋体" w:hAnsi="宋体" w:cs="宋体"/>
                <w:kern w:val="0"/>
                <w:sz w:val="20"/>
              </w:rPr>
              <w:t>5.此资产原规划用途为住宅，无房屋产权证，已征得利益相关方同意经商，但承租方须自行到居委会出具相关证明。</w:t>
            </w:r>
            <w:r>
              <w:rPr>
                <w:rFonts w:hint="eastAsia" w:ascii="宋体" w:hAnsi="宋体" w:cs="宋体"/>
                <w:kern w:val="0"/>
                <w:sz w:val="20"/>
              </w:rPr>
              <w:br w:type="textWrapping"/>
            </w:r>
            <w:r>
              <w:rPr>
                <w:rFonts w:hint="eastAsia" w:ascii="宋体" w:hAnsi="宋体" w:cs="宋体"/>
                <w:kern w:val="0"/>
                <w:sz w:val="20"/>
              </w:rPr>
              <w:t>6.竞租人需在竞租前自行到此资产所属居委会及市场监督管理局等部门咨询有关办证事项，了解能否办理相关经营证件，我单位不承担办证相应责任。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285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佛山市高明区荷城街道文昌路181号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19.96</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4491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2.水电已报停及拆表，需自行报装及开通，费用自理。</w:t>
            </w:r>
            <w:r>
              <w:rPr>
                <w:rFonts w:hint="eastAsia" w:ascii="宋体" w:hAnsi="宋体" w:cs="宋体"/>
                <w:kern w:val="0"/>
                <w:sz w:val="20"/>
              </w:rPr>
              <w:br w:type="textWrapping"/>
            </w:r>
            <w:r>
              <w:rPr>
                <w:rFonts w:hint="eastAsia" w:ascii="宋体" w:hAnsi="宋体" w:cs="宋体"/>
                <w:kern w:val="0"/>
                <w:sz w:val="20"/>
              </w:rPr>
              <w:t>3.不得从事危险化学品、放射性物品、旅业、典当业、网吧、按摩服务业、酒城酒吧、歌舞娱乐、游戏游艺等娱乐业、民用爆炸物品、烟花爆竹以及列入佛山市投资准入负面清单的行业；</w:t>
            </w:r>
            <w:r>
              <w:rPr>
                <w:rFonts w:hint="eastAsia" w:ascii="宋体" w:hAnsi="宋体" w:cs="宋体"/>
                <w:kern w:val="0"/>
                <w:sz w:val="20"/>
              </w:rPr>
              <w:br w:type="textWrapping"/>
            </w:r>
            <w:r>
              <w:rPr>
                <w:rFonts w:hint="eastAsia" w:ascii="宋体" w:hAnsi="宋体" w:cs="宋体"/>
                <w:kern w:val="0"/>
                <w:sz w:val="20"/>
              </w:rPr>
              <w:t>4.此资产无房屋产权证，竞租人需在竞租前自行到市场监督管理局等部门咨询有关办证事项，了解能否办理相关经营证件，我单位不承担办证相应责任。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89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26</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佛山市高明区荷城街道文昌路173、175号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44.38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9986</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2.水电已报停或拆表，需自行开通，费用自理。</w:t>
            </w:r>
            <w:r>
              <w:rPr>
                <w:rFonts w:hint="eastAsia" w:ascii="宋体" w:hAnsi="宋体" w:cs="宋体"/>
                <w:kern w:val="0"/>
                <w:sz w:val="20"/>
              </w:rPr>
              <w:br w:type="textWrapping"/>
            </w:r>
            <w:r>
              <w:rPr>
                <w:rFonts w:hint="eastAsia" w:ascii="宋体" w:hAnsi="宋体" w:cs="宋体"/>
                <w:kern w:val="0"/>
                <w:sz w:val="20"/>
              </w:rPr>
              <w:t>3.不得从事危险化学品、放射性物品、旅业、典当业、网吧、按摩服务业、酒城酒吧、歌舞娱乐、游戏游艺等娱乐业、民用爆炸物品、烟花爆竹以及列入佛山市投资准入负面清单的行业；</w:t>
            </w:r>
            <w:r>
              <w:rPr>
                <w:rFonts w:hint="eastAsia" w:ascii="宋体" w:hAnsi="宋体" w:cs="宋体"/>
                <w:kern w:val="0"/>
                <w:sz w:val="20"/>
              </w:rPr>
              <w:br w:type="textWrapping"/>
            </w:r>
            <w:r>
              <w:rPr>
                <w:rFonts w:hint="eastAsia" w:ascii="宋体" w:hAnsi="宋体" w:cs="宋体"/>
                <w:kern w:val="0"/>
                <w:sz w:val="20"/>
              </w:rPr>
              <w:t>4.此资产无房屋产权证，竞租人需在竞租前自行到市场监督管理局等部门咨询有关办证事项，了解能否办理相关经营证件，我单位不承担办证相应责任。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285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27</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佛山市高明区荷城街道文昌路167号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24.88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5598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1.按现状出租，卷闸不顺畅，门锁坏，需中标者维修或自行更换；</w:t>
            </w:r>
            <w:r>
              <w:rPr>
                <w:rFonts w:hint="eastAsia" w:ascii="宋体" w:hAnsi="宋体" w:cs="宋体"/>
                <w:kern w:val="0"/>
                <w:sz w:val="20"/>
              </w:rPr>
              <w:br w:type="textWrapping"/>
            </w:r>
            <w:r>
              <w:rPr>
                <w:rFonts w:hint="eastAsia" w:ascii="宋体" w:hAnsi="宋体" w:cs="宋体"/>
                <w:kern w:val="0"/>
                <w:sz w:val="20"/>
              </w:rPr>
              <w:t>2.水电已报停或拆表，需自行开通，费用自理。</w:t>
            </w:r>
            <w:r>
              <w:rPr>
                <w:rFonts w:hint="eastAsia" w:ascii="宋体" w:hAnsi="宋体" w:cs="宋体"/>
                <w:kern w:val="0"/>
                <w:sz w:val="20"/>
              </w:rPr>
              <w:br w:type="textWrapping"/>
            </w:r>
            <w:r>
              <w:rPr>
                <w:rFonts w:hint="eastAsia" w:ascii="宋体" w:hAnsi="宋体" w:cs="宋体"/>
                <w:kern w:val="0"/>
                <w:sz w:val="20"/>
              </w:rPr>
              <w:t>3.不得从事危险化学品、放射性物品、旅业、典当业、网吧、按摩服务业、酒城酒吧、歌舞娱乐、游戏游艺等娱乐业、民用爆炸物品、烟花爆竹以及列入佛山市投资准入负面清单的行业；</w:t>
            </w:r>
            <w:r>
              <w:rPr>
                <w:rFonts w:hint="eastAsia" w:ascii="宋体" w:hAnsi="宋体" w:cs="宋体"/>
                <w:kern w:val="0"/>
                <w:sz w:val="20"/>
              </w:rPr>
              <w:br w:type="textWrapping"/>
            </w:r>
            <w:r>
              <w:rPr>
                <w:rFonts w:hint="eastAsia" w:ascii="宋体" w:hAnsi="宋体" w:cs="宋体"/>
                <w:kern w:val="0"/>
                <w:sz w:val="20"/>
              </w:rPr>
              <w:t>4.此资产无房屋产权证，竞租人需在竞租前自行到市场监督管理局等部门咨询有关办证事项，了解能否办理相关经营证件，我单位不承担办证相应责任。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290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佛山市高明区荷城街道文昌路123号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26.28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5913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2.水电已报停或拆表，需自行开通，费用自理。</w:t>
            </w:r>
            <w:r>
              <w:rPr>
                <w:rFonts w:hint="eastAsia" w:ascii="宋体" w:hAnsi="宋体" w:cs="宋体"/>
                <w:kern w:val="0"/>
                <w:sz w:val="20"/>
              </w:rPr>
              <w:br w:type="textWrapping"/>
            </w:r>
            <w:r>
              <w:rPr>
                <w:rFonts w:hint="eastAsia" w:ascii="宋体" w:hAnsi="宋体" w:cs="宋体"/>
                <w:kern w:val="0"/>
                <w:sz w:val="20"/>
              </w:rPr>
              <w:t>3.不得从事危险化学品、放射性物品、旅业、典当业、网吧、按摩服务业、酒城酒吧、歌舞娱乐、游戏游艺等娱乐业、民用爆炸物品、烟花爆竹以及列入佛山市投资准入负面清单的行业；</w:t>
            </w:r>
            <w:r>
              <w:rPr>
                <w:rFonts w:hint="eastAsia" w:ascii="宋体" w:hAnsi="宋体" w:cs="宋体"/>
                <w:kern w:val="0"/>
                <w:sz w:val="20"/>
              </w:rPr>
              <w:br w:type="textWrapping"/>
            </w:r>
            <w:r>
              <w:rPr>
                <w:rFonts w:hint="eastAsia" w:ascii="宋体" w:hAnsi="宋体" w:cs="宋体"/>
                <w:kern w:val="0"/>
                <w:sz w:val="20"/>
              </w:rPr>
              <w:t>4.此资产无房屋产权证，竞租人需在竞租前自行到市场监督管理局等部门咨询有关办证事项，了解能否办理相关经营证件，我单位不承担办证相应责任。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157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29</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高明区荷城街道沿江路荷城公园正大门口北边1卡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24.5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2066</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2020.6.30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原合同期满后一个月内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2.需与原租户交接水电或自费安装、开通水电。</w:t>
            </w:r>
            <w:r>
              <w:rPr>
                <w:rFonts w:hint="eastAsia" w:ascii="宋体" w:hAnsi="宋体" w:cs="宋体"/>
                <w:kern w:val="0"/>
                <w:sz w:val="20"/>
              </w:rPr>
              <w:br w:type="textWrapping"/>
            </w:r>
            <w:r>
              <w:rPr>
                <w:rFonts w:hint="eastAsia" w:ascii="宋体" w:hAnsi="宋体" w:cs="宋体"/>
                <w:kern w:val="0"/>
                <w:sz w:val="20"/>
              </w:rPr>
              <w:t>3.不得从事危险化学品、放射性物品、旅业、典当业、网吧、按摩服务业、酒城酒吧、歌舞娱乐、游戏游艺等娱乐业、民用爆炸物品、烟花爆竹以及列入佛山市投资准入负面清单的行业；</w:t>
            </w:r>
            <w:r>
              <w:rPr>
                <w:rFonts w:hint="eastAsia" w:ascii="宋体" w:hAnsi="宋体" w:cs="宋体"/>
                <w:kern w:val="0"/>
                <w:sz w:val="20"/>
              </w:rPr>
              <w:br w:type="textWrapping"/>
            </w:r>
            <w:r>
              <w:rPr>
                <w:rFonts w:hint="eastAsia" w:ascii="宋体" w:hAnsi="宋体" w:cs="宋体"/>
                <w:kern w:val="0"/>
                <w:sz w:val="20"/>
              </w:rPr>
              <w:t>4.此资产无房屋产权证，竞租人需在竞租前自行到市场监督管理局等部门咨询有关办证事项，了解能否办理相关经营证件，我单位不承担办证相应责任。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175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高明区荷城街道沿江路荷城公园正大门口南边1、2、3卡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73.5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2735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2020.6.30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原合同期满后一个月内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rPr>
            </w:pPr>
          </w:p>
        </w:tc>
      </w:tr>
      <w:tr>
        <w:tblPrEx>
          <w:tblCellMar>
            <w:top w:w="0" w:type="dxa"/>
            <w:left w:w="108" w:type="dxa"/>
            <w:bottom w:w="0" w:type="dxa"/>
            <w:right w:w="108" w:type="dxa"/>
          </w:tblCellMar>
        </w:tblPrEx>
        <w:trPr>
          <w:wAfter w:w="0" w:type="auto"/>
          <w:trHeight w:val="141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高明区荷城街道莲花路3号首层（原莲花路4号A座首层之二）</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90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2188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2020.7.31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原合同期满后一个月内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2.须与原租户交接水电或自费安装、开通水电。</w:t>
            </w:r>
          </w:p>
        </w:tc>
      </w:tr>
      <w:tr>
        <w:tblPrEx>
          <w:tblCellMar>
            <w:top w:w="0" w:type="dxa"/>
            <w:left w:w="108" w:type="dxa"/>
            <w:bottom w:w="0" w:type="dxa"/>
            <w:right w:w="108" w:type="dxa"/>
          </w:tblCellMar>
        </w:tblPrEx>
        <w:trPr>
          <w:wAfter w:w="0" w:type="auto"/>
          <w:trHeight w:val="293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佛山市高明区荷城街道沧江路130号首层自东至西第6卡及二层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437.45（首层含楼梯部分约29.52平方米，二层407.93平方米）</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11124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6年半</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2.水、电表已拆，须自行安装、开通，费用自理。</w:t>
            </w:r>
            <w:r>
              <w:rPr>
                <w:rFonts w:hint="eastAsia" w:ascii="宋体" w:hAnsi="宋体" w:cs="宋体"/>
                <w:kern w:val="0"/>
                <w:sz w:val="20"/>
              </w:rPr>
              <w:br w:type="textWrapping"/>
            </w:r>
            <w:r>
              <w:rPr>
                <w:rFonts w:hint="eastAsia" w:ascii="宋体" w:hAnsi="宋体" w:cs="宋体"/>
                <w:kern w:val="0"/>
                <w:sz w:val="20"/>
              </w:rPr>
              <w:t>3.不得从事餐饮业；</w:t>
            </w:r>
            <w:r>
              <w:rPr>
                <w:rFonts w:hint="eastAsia" w:ascii="宋体" w:hAnsi="宋体" w:cs="宋体"/>
                <w:kern w:val="0"/>
                <w:sz w:val="20"/>
              </w:rPr>
              <w:br w:type="textWrapping"/>
            </w:r>
            <w:r>
              <w:rPr>
                <w:rFonts w:hint="eastAsia" w:ascii="宋体" w:hAnsi="宋体" w:cs="宋体"/>
                <w:kern w:val="0"/>
                <w:sz w:val="20"/>
              </w:rPr>
              <w:t>4.竞租人需在竞租前自行到相关部门咨询有关办证事项，了解能否办理相关经营证件，我单位不承担办证相应责任。</w:t>
            </w:r>
          </w:p>
        </w:tc>
      </w:tr>
      <w:tr>
        <w:tblPrEx>
          <w:tblCellMar>
            <w:top w:w="0" w:type="dxa"/>
            <w:left w:w="108" w:type="dxa"/>
            <w:bottom w:w="0" w:type="dxa"/>
            <w:right w:w="108" w:type="dxa"/>
          </w:tblCellMar>
        </w:tblPrEx>
        <w:trPr>
          <w:wAfter w:w="0" w:type="auto"/>
          <w:trHeight w:val="97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佛山市高明区荷城街道荷香路329号自东至西第21-23卡</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79.32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办公室</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1350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w:t>
            </w:r>
            <w:r>
              <w:rPr>
                <w:rFonts w:hint="eastAsia" w:ascii="宋体" w:hAnsi="宋体" w:cs="宋体"/>
                <w:kern w:val="0"/>
                <w:sz w:val="20"/>
              </w:rPr>
              <w:br w:type="textWrapping"/>
            </w:r>
            <w:r>
              <w:rPr>
                <w:rFonts w:hint="eastAsia" w:ascii="宋体" w:hAnsi="宋体" w:cs="宋体"/>
                <w:kern w:val="0"/>
                <w:sz w:val="20"/>
              </w:rPr>
              <w:t>2.水、电表已拆，须自行安装、开通，费用自理。</w:t>
            </w:r>
          </w:p>
        </w:tc>
      </w:tr>
      <w:tr>
        <w:tblPrEx>
          <w:tblCellMar>
            <w:top w:w="0" w:type="dxa"/>
            <w:left w:w="108" w:type="dxa"/>
            <w:bottom w:w="0" w:type="dxa"/>
            <w:right w:w="108" w:type="dxa"/>
          </w:tblCellMar>
        </w:tblPrEx>
        <w:trPr>
          <w:wAfter w:w="0" w:type="auto"/>
          <w:trHeight w:val="163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34</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佛山市高明区更合镇巨泉道班</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空置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建筑面积约299.19平方米，土地证载面积约996.64平方米</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首层非住宅，二层住宅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租赁合同押金为5000元</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签订合同后5个工作日内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1.按现状出租，含附属大院</w:t>
            </w:r>
            <w:r>
              <w:rPr>
                <w:rFonts w:hint="eastAsia" w:ascii="宋体" w:hAnsi="宋体" w:cs="宋体"/>
                <w:kern w:val="0"/>
                <w:sz w:val="20"/>
              </w:rPr>
              <w:br w:type="textWrapping"/>
            </w:r>
            <w:r>
              <w:rPr>
                <w:rFonts w:hint="eastAsia" w:ascii="宋体" w:hAnsi="宋体" w:cs="宋体"/>
                <w:kern w:val="0"/>
                <w:sz w:val="20"/>
              </w:rPr>
              <w:t>2.水、电表已拆，须自行安装、开通，费用自理。</w:t>
            </w:r>
          </w:p>
        </w:tc>
      </w:tr>
      <w:tr>
        <w:tblPrEx>
          <w:tblCellMar>
            <w:top w:w="0" w:type="dxa"/>
            <w:left w:w="108" w:type="dxa"/>
            <w:bottom w:w="0" w:type="dxa"/>
            <w:right w:w="108" w:type="dxa"/>
          </w:tblCellMar>
        </w:tblPrEx>
        <w:trPr>
          <w:wAfter w:w="0" w:type="auto"/>
          <w:trHeight w:val="5121"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35</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佛山市高明区杨和镇红梅路10号（天福楼）二楼</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xml:space="preserve">802.9㎡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商住</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21000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6865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合同有效日期至2025年5月31日止</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招租成功后7天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1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36</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佛山市高明区杨和镇红梅路10号（天福楼）三楼</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764.8㎡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商住</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3924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合同有效日期至2025年5月31日止</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招租成功后7天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7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37</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佛山市高明区荷城街道蟠龙街蟠龙四巷2号之3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非住宅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640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2020.5.31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招租成功后15天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有</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7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佛山市高明区荷城街道文昌路华美巷26号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19.97</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435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2020.8.31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合同到期后15天内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7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39</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佛山市高明区荷城街道文昌路华美巷28号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在租</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19.97</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1300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357</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2020.8.31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合同到期后15天内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按现状出租，需自行办理证照；对于经营涉及消防、环保等许可的行业，请在投标前，自行到相关部门了解能否获得相关许可，我司不承担相应责任。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2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40</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佛山市高明区荷城街道文明路248号2座201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85.9</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1700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560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招租成功后7天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有</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按现状出租，需自费办理用水、用电手续。</w:t>
            </w:r>
          </w:p>
        </w:tc>
      </w:tr>
      <w:tr>
        <w:tblPrEx>
          <w:tblCellMar>
            <w:top w:w="0" w:type="dxa"/>
            <w:left w:w="108" w:type="dxa"/>
            <w:bottom w:w="0" w:type="dxa"/>
            <w:right w:w="108" w:type="dxa"/>
          </w:tblCellMar>
        </w:tblPrEx>
        <w:trPr>
          <w:wAfter w:w="0" w:type="auto"/>
          <w:trHeight w:val="134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41</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佛山市高明区荷城街道文明路248号3座402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71.93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370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招租成功后7天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有</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按现状出租，需自费办理用水、用电手续。</w:t>
            </w:r>
          </w:p>
        </w:tc>
      </w:tr>
      <w:tr>
        <w:tblPrEx>
          <w:tblCellMar>
            <w:top w:w="0" w:type="dxa"/>
            <w:left w:w="108" w:type="dxa"/>
            <w:bottom w:w="0" w:type="dxa"/>
            <w:right w:w="108" w:type="dxa"/>
          </w:tblCellMar>
        </w:tblPrEx>
        <w:trPr>
          <w:wAfter w:w="0" w:type="auto"/>
          <w:trHeight w:val="145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42</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佛山市高明区荷城街道沧江路莲花巷7号2梯201房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48.88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230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招租成功后7天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有</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按现状出租，需自费办理用水、用电手续。</w:t>
            </w:r>
          </w:p>
        </w:tc>
      </w:tr>
      <w:tr>
        <w:tblPrEx>
          <w:tblCellMar>
            <w:top w:w="0" w:type="dxa"/>
            <w:left w:w="108" w:type="dxa"/>
            <w:bottom w:w="0" w:type="dxa"/>
            <w:right w:w="108" w:type="dxa"/>
          </w:tblCellMar>
        </w:tblPrEx>
        <w:trPr>
          <w:wAfter w:w="0" w:type="auto"/>
          <w:trHeight w:val="138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43</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佛山市高明区荷城街道沧江路莲花巷7号2梯401房</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48.88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住宅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240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招租成功后7天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有</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按现状出租，需自费办理用水、用电手续。</w:t>
            </w:r>
          </w:p>
        </w:tc>
      </w:tr>
      <w:tr>
        <w:tblPrEx>
          <w:tblCellMar>
            <w:top w:w="0" w:type="dxa"/>
            <w:left w:w="108" w:type="dxa"/>
            <w:bottom w:w="0" w:type="dxa"/>
            <w:right w:w="108" w:type="dxa"/>
          </w:tblCellMar>
        </w:tblPrEx>
        <w:trPr>
          <w:wAfter w:w="0" w:type="auto"/>
          <w:trHeight w:val="146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44</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高明区更合镇更楼工业大道粮所办公室首层（更粮02号-1）</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126.82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5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45</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新圩辉龙街29号住宅楼门市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按现状出租，水电需自行开通费用自理，需自行办理证照，涉及消防、环保等许可行业，请在投标前自行到相关部门了解能否获得相关许可，我司不承担相应责任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29"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46</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高明区更合镇新圩辉龙街原新圩粮所南面的3、4、5仓、粮油门市部（新粮09号、10号、11号），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1150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仓库</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15000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4800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35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47</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高明区更合镇更楼工业大道更楼粮所的2仓</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864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仓库</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2200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1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48</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佛山市高明区更合镇合水西昌路120号原合水粮所办公室首层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78.72</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办公室</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1800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按现状出租，水电需自行开通费用自理，需自行办理证照，涉及消防、环保等许可行业，请在投标前自行到相关部门了解能否获得相关许可，我司不承担相应责任。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5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49</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高明区更合镇合水南水路21号沧江楼二楼、三楼</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1004</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商业</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12000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4000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按现状出租，水电需自行开通费用自理，需自行办理证照，涉及消防、环保等许可行业，请在投标前自行到相关部门了解能否获得相关许可，我司不承担相应责任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28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佛山市高明区更合镇更楼工业大道公路西门市之二（更粮20号）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25.78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简易商铺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180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643"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51</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高明区明城明七路352号101(面积41.2㎡)、103之二（面积44.1M</w:t>
            </w:r>
            <w:r>
              <w:rPr>
                <w:rFonts w:hint="eastAsia" w:ascii="宋体" w:hAnsi="宋体" w:cs="宋体"/>
                <w:kern w:val="0"/>
                <w:sz w:val="20"/>
                <w:vertAlign w:val="superscript"/>
              </w:rPr>
              <w:t>2</w:t>
            </w:r>
            <w:r>
              <w:rPr>
                <w:rFonts w:hint="eastAsia" w:ascii="宋体" w:hAnsi="宋体" w:cs="宋体"/>
                <w:kern w:val="0"/>
                <w:sz w:val="20"/>
              </w:rPr>
              <w:t>）</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85.3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2100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700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按现状出租，水电需自行开通费用自理，需自行办理证照，涉及消防、环保等许可行业，请在投标前自行到相关部门了解能否获得相关许可，我司不承担相应责任,商铺之间由木板分隔开。</w:t>
            </w:r>
          </w:p>
        </w:tc>
      </w:tr>
      <w:tr>
        <w:tblPrEx>
          <w:tblCellMar>
            <w:top w:w="0" w:type="dxa"/>
            <w:left w:w="108" w:type="dxa"/>
            <w:bottom w:w="0" w:type="dxa"/>
            <w:right w:w="108" w:type="dxa"/>
          </w:tblCellMar>
        </w:tblPrEx>
        <w:trPr>
          <w:wAfter w:w="0" w:type="auto"/>
          <w:trHeight w:val="1429"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52</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佛山市高明区明城镇昌六街二号</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173</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商铺</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650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按现状出租，水电需自行开通费用自理，需自行办理证照，涉及消防、环保等许可行业，请在投标前自行到相关部门了解能否获得相关许可，我司不承担相应责任。</w:t>
            </w:r>
          </w:p>
        </w:tc>
      </w:tr>
      <w:tr>
        <w:tblPrEx>
          <w:tblCellMar>
            <w:top w:w="0" w:type="dxa"/>
            <w:left w:w="108" w:type="dxa"/>
            <w:bottom w:w="0" w:type="dxa"/>
            <w:right w:w="108" w:type="dxa"/>
          </w:tblCellMar>
        </w:tblPrEx>
        <w:trPr>
          <w:wAfter w:w="0" w:type="auto"/>
          <w:trHeight w:val="141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53</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高明区杨和镇杨梅杜鹃路原粮所内的五仓、六仓（杨粮08）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闲置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508</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仓库</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8000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2500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50</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3年</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每月</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租赁合同押金：中标月租金的3倍</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中标后五天内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否</w:t>
            </w:r>
          </w:p>
        </w:tc>
        <w:tc>
          <w:tcPr>
            <w:tcW w:w="0" w:type="auto"/>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rPr>
            </w:pPr>
            <w:r>
              <w:rPr>
                <w:rFonts w:hint="eastAsia" w:ascii="宋体" w:hAnsi="宋体" w:cs="宋体"/>
                <w:kern w:val="0"/>
                <w:sz w:val="20"/>
              </w:rPr>
              <w:t>按现状出租，水电需自行开通费用自理，需自行办理证照，涉及消防、环保等许可行业，请在投标前自行到相关部门了解能否获得相关许可，我司不承担相应责任。</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B57B8"/>
    <w:rsid w:val="090B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2020-05-28T01:39:00Z</dcterms:created>
  <dc:creator>晓敏</dc:creator>
  <cp:lastModifiedBy>晓敏</cp:lastModifiedBy>
  <dcterms:modified xsi:type="dcterms:W3CDTF">2020-05-28T01:41:43Z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